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方正公文小标宋" w:hAnsi="方正公文小标宋" w:eastAsia="方正公文小标宋" w:cs="方正公文小标宋"/>
          <w:b w:val="0"/>
          <w:bCs w:val="0"/>
          <w:color w:val="000000"/>
          <w:kern w:val="0"/>
          <w:sz w:val="31"/>
          <w:szCs w:val="31"/>
          <w:lang w:val="en-US" w:eastAsia="zh-CN"/>
        </w:rPr>
      </w:pPr>
      <w:bookmarkStart w:id="0" w:name="_GoBack"/>
      <w:bookmarkEnd w:id="0"/>
      <w:r>
        <w:rPr>
          <w:rFonts w:hint="eastAsia" w:ascii="方正公文小标宋" w:hAnsi="方正公文小标宋" w:eastAsia="方正公文小标宋" w:cs="方正公文小标宋"/>
          <w:b w:val="0"/>
          <w:bCs w:val="0"/>
          <w:color w:val="000000"/>
          <w:kern w:val="0"/>
          <w:sz w:val="31"/>
          <w:szCs w:val="31"/>
          <w:lang w:val="en-US" w:eastAsia="zh-CN"/>
        </w:rPr>
        <w:t>附件1</w:t>
      </w:r>
    </w:p>
    <w:p>
      <w:pPr>
        <w:keepNext w:val="0"/>
        <w:keepLines w:val="0"/>
        <w:widowControl/>
        <w:suppressLineNumbers w:val="0"/>
        <w:jc w:val="left"/>
        <w:rPr>
          <w:rFonts w:hint="eastAsia" w:ascii="方正公文小标宋" w:hAnsi="方正公文小标宋" w:eastAsia="方正公文小标宋" w:cs="方正公文小标宋"/>
          <w:b w:val="0"/>
          <w:bCs w:val="0"/>
          <w:sz w:val="32"/>
          <w:szCs w:val="32"/>
        </w:rPr>
      </w:pPr>
      <w:r>
        <w:rPr>
          <w:rFonts w:hint="eastAsia" w:ascii="方正公文小标宋" w:hAnsi="方正公文小标宋" w:eastAsia="方正公文小标宋" w:cs="方正公文小标宋"/>
          <w:b w:val="0"/>
          <w:bCs w:val="0"/>
          <w:color w:val="000000"/>
          <w:kern w:val="0"/>
          <w:sz w:val="31"/>
          <w:szCs w:val="31"/>
          <w:lang w:val="en-US" w:eastAsia="zh-CN"/>
        </w:rPr>
        <w:t xml:space="preserve">                 </w:t>
      </w:r>
      <w:r>
        <w:rPr>
          <w:rFonts w:hint="eastAsia" w:ascii="方正公文小标宋" w:hAnsi="方正公文小标宋" w:eastAsia="方正公文小标宋" w:cs="方正公文小标宋"/>
          <w:b w:val="0"/>
          <w:bCs w:val="0"/>
          <w:color w:val="000000"/>
          <w:kern w:val="0"/>
          <w:sz w:val="32"/>
          <w:szCs w:val="32"/>
          <w:lang w:val="en-US" w:eastAsia="zh-CN"/>
        </w:rPr>
        <w:t xml:space="preserve">面向高校的调研提纲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ascii="黑体" w:hAnsi="宋体" w:eastAsia="黑体" w:cs="黑体"/>
          <w:color w:val="000000"/>
          <w:kern w:val="0"/>
          <w:sz w:val="31"/>
          <w:szCs w:val="31"/>
          <w:lang w:val="en-US" w:eastAsia="zh-CN"/>
        </w:rPr>
        <w:t>一、关于实施科教兴国战略，强化社会主义现代化国家建设</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人才支撑，</w:t>
      </w:r>
      <w:r>
        <w:rPr>
          <w:rFonts w:hint="default" w:ascii="仿宋_GB2312" w:hAnsi="仿宋_GB2312" w:eastAsia="仿宋_GB2312" w:cs="仿宋_GB2312"/>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三位一体</w:t>
      </w:r>
      <w:r>
        <w:rPr>
          <w:rFonts w:hint="default" w:ascii="仿宋_GB2312" w:hAnsi="仿宋_GB2312" w:eastAsia="仿宋_GB2312" w:cs="仿宋_GB2312"/>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统筹推进教育、科技、人才工作的关键环节和主要抓手是什么？从高校工作看，</w:t>
      </w:r>
      <w:r>
        <w:rPr>
          <w:rFonts w:hint="default" w:ascii="仿宋_GB2312" w:hAnsi="仿宋_GB2312" w:eastAsia="仿宋_GB2312" w:cs="仿宋_GB2312"/>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三大战略</w:t>
      </w:r>
      <w:r>
        <w:rPr>
          <w:rFonts w:hint="default" w:ascii="仿宋_GB2312" w:hAnsi="仿宋_GB2312" w:eastAsia="仿宋_GB2312" w:cs="仿宋_GB2312"/>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 xml:space="preserve">如何有效衔接、贯通实施？高校在开辟新领域新赛道、塑造新动能新优势中的定位和功能是什么，着力点在哪里？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二、关于全面贯彻党的教育方针，深入落实立德树人根本任务，</w:t>
      </w:r>
      <w:r>
        <w:rPr>
          <w:rFonts w:ascii="仿宋_GB2312" w:hAnsi="仿宋_GB2312" w:eastAsia="仿宋_GB2312" w:cs="仿宋_GB2312"/>
          <w:color w:val="000000"/>
          <w:kern w:val="0"/>
          <w:sz w:val="31"/>
          <w:szCs w:val="31"/>
          <w:lang w:val="en-US" w:eastAsia="zh-CN"/>
        </w:rPr>
        <w:t>应如何提升高校领导班子和领导干部政治判断力、政治领悟力、政治执行力，更加深刻领悟</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两个确立</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的决定性意义？如何持之以恒推进全面从严治党，深入推进新时代高校党的建设？如何完善</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大思政课</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 xml:space="preserve">工作体系，全面深入推进习近平新时代中国特色社会主义思想和党的二十大精神进教材进课堂进头脑？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 xml:space="preserve">三、关于全面提高人才自主培养质量，着力造就拔尖创新人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才，</w:t>
      </w:r>
      <w:r>
        <w:rPr>
          <w:rFonts w:ascii="仿宋_GB2312" w:hAnsi="仿宋_GB2312" w:eastAsia="仿宋_GB2312" w:cs="仿宋_GB2312"/>
          <w:color w:val="000000"/>
          <w:kern w:val="0"/>
          <w:sz w:val="31"/>
          <w:szCs w:val="31"/>
          <w:lang w:val="en-US" w:eastAsia="zh-CN"/>
        </w:rPr>
        <w:t xml:space="preserve">应如何针对 </w:t>
      </w:r>
      <w:r>
        <w:rPr>
          <w:rFonts w:hint="default" w:ascii="仿宋_GB2312" w:hAnsi="仿宋_GB2312" w:eastAsia="仿宋_GB2312" w:cs="仿宋_GB2312"/>
          <w:color w:val="000000"/>
          <w:kern w:val="0"/>
          <w:sz w:val="31"/>
          <w:szCs w:val="31"/>
          <w:lang w:val="en-US" w:eastAsia="zh-CN"/>
        </w:rPr>
        <w:t>STEM</w:t>
      </w:r>
      <w:r>
        <w:rPr>
          <w:rFonts w:ascii="仿宋_GB2312" w:hAnsi="仿宋_GB2312" w:eastAsia="仿宋_GB2312" w:cs="仿宋_GB2312"/>
          <w:color w:val="000000"/>
          <w:kern w:val="0"/>
          <w:sz w:val="31"/>
          <w:szCs w:val="31"/>
          <w:lang w:val="en-US" w:eastAsia="zh-CN"/>
        </w:rPr>
        <w:t>、芯片、种业、双碳等战略领域，超常规推进拔尖创新人才培养？如何完善基础教育和高等教育、本科教育和研究生教育贯通培养机制？如何深化</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四新</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学科建设、加强</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六卓越</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 xml:space="preserve">人才培养？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四、关于加快建设中国特色、世界一流大学和优势学科，</w:t>
      </w:r>
      <w:r>
        <w:rPr>
          <w:rFonts w:ascii="仿宋_GB2312" w:hAnsi="仿宋_GB2312" w:eastAsia="仿宋_GB2312" w:cs="仿宋_GB2312"/>
          <w:color w:val="000000"/>
          <w:kern w:val="0"/>
          <w:sz w:val="31"/>
          <w:szCs w:val="31"/>
          <w:lang w:val="en-US" w:eastAsia="zh-CN"/>
        </w:rPr>
        <w:t xml:space="preserve">应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ascii="仿宋_GB2312" w:hAnsi="仿宋_GB2312" w:eastAsia="仿宋_GB2312" w:cs="仿宋_GB2312"/>
          <w:color w:val="000000"/>
          <w:kern w:val="0"/>
          <w:sz w:val="31"/>
          <w:szCs w:val="31"/>
          <w:lang w:val="en-US" w:eastAsia="zh-CN"/>
        </w:rPr>
        <w:t xml:space="preserve">如何以加强基础学科、新兴学科、交叉学科建设为抓手，加快建设中国特色、世界一流大学和优势学科？如何加快构建中国特色哲学社会科学，建构起中国自主的知识体系，培育壮大哲学社会科学人才队伍？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五、关于开展协同创新，服务高水平科技自立自强，</w:t>
      </w:r>
      <w:r>
        <w:rPr>
          <w:rFonts w:ascii="仿宋_GB2312" w:hAnsi="仿宋_GB2312" w:eastAsia="仿宋_GB2312" w:cs="仿宋_GB2312"/>
          <w:color w:val="000000"/>
          <w:kern w:val="0"/>
          <w:sz w:val="31"/>
          <w:szCs w:val="31"/>
          <w:lang w:val="en-US" w:eastAsia="zh-CN"/>
        </w:rPr>
        <w:t xml:space="preserve">应如何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ascii="仿宋_GB2312" w:hAnsi="仿宋_GB2312" w:eastAsia="仿宋_GB2312" w:cs="仿宋_GB2312"/>
          <w:color w:val="000000"/>
          <w:kern w:val="0"/>
          <w:sz w:val="31"/>
          <w:szCs w:val="31"/>
          <w:lang w:val="en-US" w:eastAsia="zh-CN"/>
        </w:rPr>
        <w:t>理解和把握</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统筹职业教育、高等教育、继续教育协同创新，推进职普融通、产教融合、科教融汇</w:t>
      </w:r>
      <w:r>
        <w:rPr>
          <w:rFonts w:hint="default" w:ascii="Times New Roman" w:hAnsi="Times New Roman" w:eastAsia="宋体" w:cs="Times New Roman"/>
          <w:color w:val="000000"/>
          <w:kern w:val="0"/>
          <w:sz w:val="31"/>
          <w:szCs w:val="31"/>
          <w:lang w:val="en-US" w:eastAsia="zh-CN"/>
        </w:rPr>
        <w:t>”</w:t>
      </w:r>
      <w:r>
        <w:rPr>
          <w:rFonts w:ascii="仿宋_GB2312" w:hAnsi="仿宋_GB2312" w:eastAsia="仿宋_GB2312" w:cs="仿宋_GB2312"/>
          <w:color w:val="000000"/>
          <w:kern w:val="0"/>
          <w:sz w:val="31"/>
          <w:szCs w:val="31"/>
          <w:lang w:val="en-US" w:eastAsia="zh-CN"/>
        </w:rPr>
        <w:t xml:space="preserve">？如何加强有组织科研，聚力进行原创性、引领性科技攻关？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六、关于深化综合改革，</w:t>
      </w:r>
      <w:r>
        <w:rPr>
          <w:rFonts w:ascii="仿宋_GB2312" w:hAnsi="仿宋_GB2312" w:eastAsia="仿宋_GB2312" w:cs="仿宋_GB2312"/>
          <w:color w:val="000000"/>
          <w:kern w:val="0"/>
          <w:sz w:val="31"/>
          <w:szCs w:val="31"/>
          <w:lang w:val="en-US" w:eastAsia="zh-CN"/>
        </w:rPr>
        <w:t xml:space="preserve">应如何构建扎根中国大地办大学的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ascii="仿宋_GB2312" w:hAnsi="仿宋_GB2312" w:eastAsia="仿宋_GB2312" w:cs="仿宋_GB2312"/>
          <w:color w:val="000000"/>
          <w:kern w:val="0"/>
          <w:sz w:val="31"/>
          <w:szCs w:val="31"/>
          <w:lang w:val="en-US" w:eastAsia="zh-CN"/>
        </w:rPr>
        <w:t xml:space="preserve">评价体系，不断提升高等教育治理能力和水平？如何进一步改革和完善考试招生制度？应如何创新教育国际交流合作的模式、路径，统筹利用世界一流资源，服务人才自主培养？如何聚天下英才而用之，加快建设世界重要人才中心和创新高地？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pPr>
      <w:r>
        <w:rPr>
          <w:rFonts w:hint="eastAsia" w:ascii="黑体" w:hAnsi="宋体" w:eastAsia="黑体" w:cs="黑体"/>
          <w:color w:val="000000"/>
          <w:kern w:val="0"/>
          <w:sz w:val="31"/>
          <w:szCs w:val="31"/>
          <w:lang w:val="en-US" w:eastAsia="zh-CN"/>
        </w:rPr>
        <w:t>七、关于推进教育数字化，</w:t>
      </w:r>
      <w:r>
        <w:rPr>
          <w:rFonts w:ascii="仿宋_GB2312" w:hAnsi="仿宋_GB2312" w:eastAsia="仿宋_GB2312" w:cs="仿宋_GB2312"/>
          <w:color w:val="000000"/>
          <w:kern w:val="0"/>
          <w:sz w:val="31"/>
          <w:szCs w:val="31"/>
          <w:lang w:val="en-US" w:eastAsia="zh-CN"/>
        </w:rPr>
        <w:t xml:space="preserve">应如何抓住数字化战略机遇，进 </w:t>
      </w:r>
    </w:p>
    <w:p>
      <w:pPr>
        <w:keepNext w:val="0"/>
        <w:keepLines w:val="0"/>
        <w:pageBreakBefore w:val="0"/>
        <w:widowControl/>
        <w:suppressLineNumbers w:val="0"/>
        <w:kinsoku/>
        <w:wordWrap/>
        <w:overflowPunct/>
        <w:topLinePunct w:val="0"/>
        <w:autoSpaceDE/>
        <w:autoSpaceDN/>
        <w:bidi w:val="0"/>
        <w:adjustRightInd/>
        <w:snapToGrid/>
        <w:spacing w:line="700" w:lineRule="exact"/>
        <w:jc w:val="left"/>
        <w:textAlignment w:val="auto"/>
        <w:rPr>
          <w:rFonts w:ascii="仿宋_GB2312" w:hAnsi="仿宋_GB2312" w:eastAsia="仿宋_GB2312" w:cs="仿宋_GB2312"/>
          <w:color w:val="000000"/>
          <w:kern w:val="0"/>
          <w:sz w:val="31"/>
          <w:szCs w:val="31"/>
          <w:lang w:val="en-US" w:eastAsia="zh-CN"/>
        </w:rPr>
      </w:pPr>
      <w:r>
        <w:rPr>
          <w:rFonts w:ascii="仿宋_GB2312" w:hAnsi="仿宋_GB2312" w:eastAsia="仿宋_GB2312" w:cs="仿宋_GB2312"/>
          <w:color w:val="000000"/>
          <w:kern w:val="0"/>
          <w:sz w:val="31"/>
          <w:szCs w:val="31"/>
          <w:lang w:val="en-US" w:eastAsia="zh-CN"/>
        </w:rPr>
        <w:t>一步扩大我国高等教育在世界在线教育领域的领跑地位，提升国际话语权和规则制定权？</w:t>
      </w:r>
    </w:p>
    <w:p>
      <w:pPr>
        <w:keepNext w:val="0"/>
        <w:keepLines w:val="0"/>
        <w:widowControl/>
        <w:suppressLineNumbers w:val="0"/>
        <w:jc w:val="both"/>
        <w:rPr>
          <w:rFonts w:hint="eastAsia" w:ascii="仿宋_GB2312" w:hAnsi="仿宋_GB2312" w:eastAsia="仿宋_GB2312" w:cs="仿宋_GB2312"/>
          <w:color w:val="000000"/>
          <w:kern w:val="0"/>
          <w:sz w:val="31"/>
          <w:szCs w:val="31"/>
          <w:lang w:val="en-US" w:eastAsia="zh-CN"/>
        </w:rPr>
      </w:pPr>
    </w:p>
    <w:p>
      <w:pPr>
        <w:keepNext w:val="0"/>
        <w:keepLines w:val="0"/>
        <w:widowControl/>
        <w:suppressLineNumbers w:val="0"/>
        <w:jc w:val="both"/>
        <w:rPr>
          <w:rFonts w:hint="eastAsia" w:ascii="仿宋_GB2312" w:hAnsi="仿宋_GB2312" w:eastAsia="仿宋_GB2312" w:cs="仿宋_GB2312"/>
          <w:color w:val="000000"/>
          <w:kern w:val="0"/>
          <w:sz w:val="31"/>
          <w:szCs w:val="31"/>
          <w:lang w:val="en-US" w:eastAsia="zh-CN"/>
        </w:rPr>
      </w:pPr>
    </w:p>
    <w:p>
      <w:pPr>
        <w:keepNext w:val="0"/>
        <w:keepLines w:val="0"/>
        <w:widowControl/>
        <w:suppressLineNumbers w:val="0"/>
        <w:jc w:val="both"/>
        <w:rPr>
          <w:rFonts w:hint="eastAsia" w:ascii="仿宋_GB2312" w:hAnsi="仿宋_GB2312" w:eastAsia="仿宋_GB2312" w:cs="仿宋_GB2312"/>
          <w:color w:val="000000"/>
          <w:kern w:val="0"/>
          <w:sz w:val="31"/>
          <w:szCs w:val="31"/>
          <w:lang w:val="en-US" w:eastAsia="zh-CN"/>
        </w:rPr>
      </w:pPr>
    </w:p>
    <w:p>
      <w:pPr>
        <w:keepNext w:val="0"/>
        <w:keepLines w:val="0"/>
        <w:widowControl/>
        <w:suppressLineNumbers w:val="0"/>
        <w:jc w:val="both"/>
        <w:rPr>
          <w:rFonts w:hint="eastAsia" w:ascii="仿宋_GB2312" w:hAnsi="仿宋_GB2312" w:eastAsia="仿宋_GB2312" w:cs="仿宋_GB2312"/>
          <w:color w:val="000000"/>
          <w:kern w:val="0"/>
          <w:sz w:val="31"/>
          <w:szCs w:val="31"/>
          <w:lang w:val="en-US" w:eastAsia="zh-CN"/>
        </w:rPr>
      </w:pPr>
    </w:p>
    <w:p>
      <w:pPr>
        <w:keepNext w:val="0"/>
        <w:keepLines w:val="0"/>
        <w:widowControl/>
        <w:suppressLineNumbers w:val="0"/>
        <w:jc w:val="left"/>
        <w:rPr>
          <w:rFonts w:hint="default" w:ascii="方正公文小标宋" w:hAnsi="方正公文小标宋" w:eastAsia="方正公文小标宋" w:cs="方正公文小标宋"/>
          <w:b w:val="0"/>
          <w:bCs w:val="0"/>
          <w:color w:val="000000"/>
          <w:kern w:val="0"/>
          <w:sz w:val="31"/>
          <w:szCs w:val="31"/>
          <w:lang w:val="en-US" w:eastAsia="zh-CN"/>
        </w:rPr>
      </w:pPr>
      <w:r>
        <w:rPr>
          <w:rFonts w:hint="eastAsia" w:ascii="方正公文小标宋" w:hAnsi="方正公文小标宋" w:eastAsia="方正公文小标宋" w:cs="方正公文小标宋"/>
          <w:b w:val="0"/>
          <w:bCs w:val="0"/>
          <w:color w:val="000000"/>
          <w:kern w:val="0"/>
          <w:sz w:val="31"/>
          <w:szCs w:val="31"/>
          <w:lang w:val="en-US" w:eastAsia="zh-CN"/>
        </w:rPr>
        <w:t>附件2：调研任务分解表</w:t>
      </w:r>
    </w:p>
    <w:tbl>
      <w:tblPr>
        <w:tblStyle w:val="3"/>
        <w:tblpPr w:leftFromText="180" w:rightFromText="180" w:vertAnchor="text" w:horzAnchor="page" w:tblpX="1861" w:tblpY="784"/>
        <w:tblOverlap w:val="never"/>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825"/>
        <w:gridCol w:w="4710"/>
        <w:gridCol w:w="1425"/>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30" w:type="dxa"/>
            <w:vAlign w:val="center"/>
          </w:tcPr>
          <w:p>
            <w:pPr>
              <w:jc w:val="center"/>
              <w:rPr>
                <w:rFonts w:hint="default" w:ascii="华文中宋" w:hAnsi="华文中宋" w:eastAsia="华文中宋" w:cs="华文中宋"/>
                <w:b/>
                <w:bCs/>
                <w:sz w:val="21"/>
                <w:szCs w:val="21"/>
                <w:vertAlign w:val="baseline"/>
                <w:lang w:val="en-US" w:eastAsia="zh-CN"/>
              </w:rPr>
            </w:pPr>
            <w:r>
              <w:rPr>
                <w:rFonts w:hint="eastAsia" w:ascii="华文中宋" w:hAnsi="华文中宋" w:eastAsia="华文中宋" w:cs="华文中宋"/>
                <w:b/>
                <w:bCs/>
                <w:sz w:val="21"/>
                <w:szCs w:val="21"/>
                <w:vertAlign w:val="baseline"/>
                <w:lang w:val="en-US" w:eastAsia="zh-CN"/>
              </w:rPr>
              <w:t>调研提纲</w:t>
            </w:r>
          </w:p>
        </w:tc>
        <w:tc>
          <w:tcPr>
            <w:tcW w:w="825" w:type="dxa"/>
            <w:vAlign w:val="center"/>
          </w:tcPr>
          <w:p>
            <w:pPr>
              <w:jc w:val="center"/>
              <w:rPr>
                <w:rFonts w:hint="eastAsia" w:ascii="华文中宋" w:hAnsi="华文中宋" w:eastAsia="华文中宋" w:cs="华文中宋"/>
                <w:b/>
                <w:bCs/>
                <w:sz w:val="21"/>
                <w:szCs w:val="21"/>
                <w:vertAlign w:val="baseline"/>
                <w:lang w:val="en-US" w:eastAsia="zh-CN"/>
              </w:rPr>
            </w:pPr>
            <w:r>
              <w:rPr>
                <w:rFonts w:hint="eastAsia" w:ascii="华文中宋" w:hAnsi="华文中宋" w:eastAsia="华文中宋" w:cs="华文中宋"/>
                <w:b/>
                <w:bCs/>
                <w:sz w:val="21"/>
                <w:szCs w:val="21"/>
                <w:vertAlign w:val="baseline"/>
                <w:lang w:val="en-US" w:eastAsia="zh-CN"/>
              </w:rPr>
              <w:t>序号</w:t>
            </w:r>
          </w:p>
        </w:tc>
        <w:tc>
          <w:tcPr>
            <w:tcW w:w="4710" w:type="dxa"/>
            <w:vAlign w:val="center"/>
          </w:tcPr>
          <w:p>
            <w:pPr>
              <w:jc w:val="center"/>
              <w:rPr>
                <w:rFonts w:hint="default" w:ascii="华文中宋" w:hAnsi="华文中宋" w:eastAsia="华文中宋" w:cs="华文中宋"/>
                <w:b/>
                <w:bCs/>
                <w:sz w:val="21"/>
                <w:szCs w:val="21"/>
                <w:vertAlign w:val="baseline"/>
                <w:lang w:val="en-US" w:eastAsia="zh-CN"/>
              </w:rPr>
            </w:pPr>
            <w:r>
              <w:rPr>
                <w:rFonts w:hint="eastAsia" w:ascii="华文中宋" w:hAnsi="华文中宋" w:eastAsia="华文中宋" w:cs="华文中宋"/>
                <w:b/>
                <w:bCs/>
                <w:sz w:val="21"/>
                <w:szCs w:val="21"/>
                <w:vertAlign w:val="baseline"/>
                <w:lang w:val="en-US" w:eastAsia="zh-CN"/>
              </w:rPr>
              <w:t>建议主题</w:t>
            </w:r>
          </w:p>
        </w:tc>
        <w:tc>
          <w:tcPr>
            <w:tcW w:w="1425" w:type="dxa"/>
            <w:vAlign w:val="center"/>
          </w:tcPr>
          <w:p>
            <w:pPr>
              <w:jc w:val="center"/>
              <w:rPr>
                <w:rFonts w:hint="eastAsia" w:ascii="华文中宋" w:hAnsi="华文中宋" w:eastAsia="华文中宋" w:cs="华文中宋"/>
                <w:b/>
                <w:bCs/>
                <w:sz w:val="21"/>
                <w:szCs w:val="21"/>
                <w:vertAlign w:val="baseline"/>
                <w:lang w:val="en-US" w:eastAsia="zh-CN"/>
              </w:rPr>
            </w:pPr>
            <w:r>
              <w:rPr>
                <w:rFonts w:hint="eastAsia" w:ascii="华文中宋" w:hAnsi="华文中宋" w:eastAsia="华文中宋" w:cs="华文中宋"/>
                <w:b/>
                <w:bCs/>
                <w:sz w:val="21"/>
                <w:szCs w:val="21"/>
                <w:vertAlign w:val="baseline"/>
                <w:lang w:val="en-US" w:eastAsia="zh-CN"/>
              </w:rPr>
              <w:t>责任部门</w:t>
            </w:r>
          </w:p>
        </w:tc>
        <w:tc>
          <w:tcPr>
            <w:tcW w:w="1140" w:type="dxa"/>
            <w:vAlign w:val="center"/>
          </w:tcPr>
          <w:p>
            <w:pPr>
              <w:jc w:val="center"/>
              <w:rPr>
                <w:rFonts w:hint="default" w:ascii="华文中宋" w:hAnsi="华文中宋" w:eastAsia="华文中宋" w:cs="华文中宋"/>
                <w:b/>
                <w:bCs/>
                <w:sz w:val="21"/>
                <w:szCs w:val="21"/>
                <w:vertAlign w:val="baseline"/>
                <w:lang w:val="en-US" w:eastAsia="zh-CN"/>
              </w:rPr>
            </w:pPr>
            <w:r>
              <w:rPr>
                <w:rFonts w:hint="eastAsia" w:ascii="华文中宋" w:hAnsi="华文中宋" w:eastAsia="华文中宋" w:cs="华文中宋"/>
                <w:b/>
                <w:bCs/>
                <w:sz w:val="21"/>
                <w:szCs w:val="21"/>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30" w:type="dxa"/>
            <w:vAlign w:val="center"/>
          </w:tcPr>
          <w:p>
            <w:pPr>
              <w:keepNext w:val="0"/>
              <w:keepLines w:val="0"/>
              <w:widowControl/>
              <w:suppressLineNumbers w:val="0"/>
              <w:jc w:val="left"/>
              <w:rPr>
                <w:sz w:val="21"/>
                <w:szCs w:val="21"/>
              </w:rPr>
            </w:pPr>
            <w:r>
              <w:rPr>
                <w:rFonts w:hint="eastAsia" w:ascii="黑体" w:hAnsi="宋体" w:eastAsia="黑体" w:cs="黑体"/>
                <w:color w:val="000000"/>
                <w:kern w:val="0"/>
                <w:sz w:val="21"/>
                <w:szCs w:val="21"/>
                <w:lang w:val="en-US" w:eastAsia="zh-CN"/>
              </w:rPr>
              <w:t>一、</w:t>
            </w:r>
            <w:r>
              <w:rPr>
                <w:rFonts w:ascii="黑体" w:hAnsi="宋体" w:eastAsia="黑体" w:cs="黑体"/>
                <w:color w:val="000000"/>
                <w:kern w:val="0"/>
                <w:sz w:val="21"/>
                <w:szCs w:val="21"/>
                <w:lang w:val="en-US" w:eastAsia="zh-CN"/>
              </w:rPr>
              <w:t>关于实施科教兴国战略，强化社会主义现代化国家建设</w:t>
            </w:r>
          </w:p>
          <w:p>
            <w:pPr>
              <w:jc w:val="center"/>
              <w:rPr>
                <w:rFonts w:hint="eastAsia"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人才支撑</w:t>
            </w:r>
          </w:p>
        </w:tc>
        <w:tc>
          <w:tcPr>
            <w:tcW w:w="825" w:type="dxa"/>
            <w:vAlign w:val="center"/>
          </w:tcPr>
          <w:p>
            <w:pPr>
              <w:jc w:val="center"/>
              <w:rPr>
                <w:rFonts w:hint="eastAsia"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1</w:t>
            </w:r>
          </w:p>
        </w:tc>
        <w:tc>
          <w:tcPr>
            <w:tcW w:w="4710" w:type="dxa"/>
            <w:vAlign w:val="center"/>
          </w:tcPr>
          <w:p>
            <w:pPr>
              <w:keepNext w:val="0"/>
              <w:keepLines w:val="0"/>
              <w:widowControl/>
              <w:suppressLineNumbers w:val="0"/>
              <w:jc w:val="left"/>
              <w:rPr>
                <w:rFonts w:hint="eastAsia"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“三位一体”统筹推进教育、科技、人才工作的关键环节和主要抓手是什么？从高校工作看，“三大战略”如何有效衔接、贯通实施？</w:t>
            </w:r>
          </w:p>
        </w:tc>
        <w:tc>
          <w:tcPr>
            <w:tcW w:w="1425" w:type="dxa"/>
            <w:vAlign w:val="center"/>
          </w:tcPr>
          <w:p>
            <w:pPr>
              <w:keepNext w:val="0"/>
              <w:keepLines w:val="0"/>
              <w:widowControl/>
              <w:suppressLineNumbers w:val="0"/>
              <w:jc w:val="left"/>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党委办公室</w:t>
            </w:r>
          </w:p>
          <w:p>
            <w:pPr>
              <w:keepNext w:val="0"/>
              <w:keepLines w:val="0"/>
              <w:widowControl/>
              <w:suppressLineNumbers w:val="0"/>
              <w:jc w:val="left"/>
              <w:rPr>
                <w:rFonts w:hint="default"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发展规划处</w:t>
            </w:r>
          </w:p>
          <w:p>
            <w:pPr>
              <w:jc w:val="center"/>
              <w:rPr>
                <w:rFonts w:hint="eastAsia" w:ascii="宋体" w:hAnsi="宋体" w:eastAsia="宋体" w:cs="宋体"/>
                <w:kern w:val="2"/>
                <w:sz w:val="21"/>
                <w:szCs w:val="21"/>
                <w:vertAlign w:val="baseline"/>
                <w:lang w:val="en-US" w:eastAsia="zh-CN" w:bidi="ar-SA"/>
              </w:rPr>
            </w:pP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930" w:type="dxa"/>
            <w:vMerge w:val="restart"/>
            <w:vAlign w:val="center"/>
          </w:tcPr>
          <w:p>
            <w:pPr>
              <w:jc w:val="center"/>
              <w:rPr>
                <w:rFonts w:hint="eastAsia"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二、关于全面贯彻党的教育方针，深入落实立德树人根本任务</w:t>
            </w: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2</w:t>
            </w:r>
          </w:p>
        </w:tc>
        <w:tc>
          <w:tcPr>
            <w:tcW w:w="4710" w:type="dxa"/>
            <w:vAlign w:val="center"/>
          </w:tcPr>
          <w:p>
            <w:pPr>
              <w:jc w:val="left"/>
              <w:rPr>
                <w:rFonts w:hint="eastAsia"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如何持之以恒推进全面从严治党，深入推进新时代高校党的建设？</w:t>
            </w:r>
          </w:p>
        </w:tc>
        <w:tc>
          <w:tcPr>
            <w:tcW w:w="1425" w:type="dxa"/>
            <w:vAlign w:val="center"/>
          </w:tcPr>
          <w:p>
            <w:pPr>
              <w:keepNext w:val="0"/>
              <w:keepLines w:val="0"/>
              <w:widowControl/>
              <w:suppressLineNumbers w:val="0"/>
              <w:jc w:val="left"/>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党委组织部</w:t>
            </w:r>
          </w:p>
          <w:p>
            <w:pPr>
              <w:jc w:val="center"/>
              <w:rPr>
                <w:rFonts w:hint="eastAsia" w:ascii="宋体" w:hAnsi="宋体" w:eastAsia="宋体" w:cs="宋体"/>
                <w:kern w:val="2"/>
                <w:sz w:val="21"/>
                <w:szCs w:val="21"/>
                <w:vertAlign w:val="baseline"/>
                <w:lang w:val="en-US" w:eastAsia="zh-CN" w:bidi="ar-SA"/>
              </w:rPr>
            </w:pP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930" w:type="dxa"/>
            <w:vMerge w:val="continue"/>
            <w:vAlign w:val="center"/>
          </w:tcPr>
          <w:p>
            <w:pPr>
              <w:jc w:val="center"/>
              <w:rPr>
                <w:rFonts w:hint="eastAsia" w:ascii="宋体" w:hAnsi="宋体" w:cs="宋体"/>
                <w:sz w:val="21"/>
                <w:szCs w:val="21"/>
                <w:vertAlign w:val="baseline"/>
                <w:lang w:val="en-US" w:eastAsia="zh-CN"/>
              </w:rPr>
            </w:pP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3</w:t>
            </w:r>
          </w:p>
        </w:tc>
        <w:tc>
          <w:tcPr>
            <w:tcW w:w="4710" w:type="dxa"/>
            <w:vAlign w:val="center"/>
          </w:tcPr>
          <w:p>
            <w:pPr>
              <w:jc w:val="left"/>
              <w:rPr>
                <w:rFonts w:hint="eastAsia"/>
                <w:lang w:val="en-US" w:eastAsia="zh-CN"/>
              </w:rPr>
            </w:pPr>
            <w:r>
              <w:rPr>
                <w:rFonts w:hint="eastAsia" w:ascii="黑体" w:hAnsi="黑体" w:eastAsia="黑体" w:cs="黑体"/>
                <w:color w:val="000000"/>
                <w:kern w:val="0"/>
                <w:sz w:val="21"/>
                <w:szCs w:val="21"/>
                <w:lang w:val="en-US" w:eastAsia="zh-CN"/>
              </w:rPr>
              <w:t>如何完善</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大思政课</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工作体系，全面深入推进习近平新时代中国特色社会主义思想和党的二十大精神进教材进课堂进头脑？</w:t>
            </w:r>
          </w:p>
        </w:tc>
        <w:tc>
          <w:tcPr>
            <w:tcW w:w="1425" w:type="dxa"/>
            <w:vAlign w:val="center"/>
          </w:tcPr>
          <w:p>
            <w:pPr>
              <w:jc w:val="left"/>
              <w:rPr>
                <w:rFonts w:hint="default"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党委宣传部</w:t>
            </w:r>
          </w:p>
          <w:p>
            <w:pPr>
              <w:jc w:val="left"/>
              <w:rPr>
                <w:rFonts w:hint="default"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马克思主义学院</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30" w:type="dxa"/>
            <w:vMerge w:val="restart"/>
            <w:vAlign w:val="center"/>
          </w:tcPr>
          <w:p>
            <w:pPr>
              <w:jc w:val="center"/>
              <w:rPr>
                <w:rFonts w:hint="eastAsia" w:ascii="黑体" w:hAnsi="宋体" w:eastAsia="黑体" w:cs="黑体"/>
                <w:color w:val="000000"/>
                <w:kern w:val="0"/>
                <w:sz w:val="21"/>
                <w:szCs w:val="21"/>
                <w:lang w:val="en-US" w:eastAsia="zh-CN"/>
              </w:rPr>
            </w:pPr>
            <w:r>
              <w:rPr>
                <w:rFonts w:hint="eastAsia" w:ascii="黑体" w:hAnsi="宋体" w:eastAsia="黑体" w:cs="黑体"/>
                <w:color w:val="000000"/>
                <w:kern w:val="0"/>
                <w:sz w:val="21"/>
                <w:szCs w:val="21"/>
                <w:lang w:val="en-US" w:eastAsia="zh-CN"/>
              </w:rPr>
              <w:t xml:space="preserve">三、关于全面提高人才自主培养质量，着力造就拔尖创新人 </w:t>
            </w:r>
          </w:p>
          <w:p>
            <w:pPr>
              <w:jc w:val="center"/>
              <w:rPr>
                <w:rFonts w:hint="eastAsia"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才</w:t>
            </w:r>
          </w:p>
        </w:tc>
        <w:tc>
          <w:tcPr>
            <w:tcW w:w="825" w:type="dxa"/>
            <w:vAlign w:val="center"/>
          </w:tcPr>
          <w:p>
            <w:pPr>
              <w:jc w:val="left"/>
              <w:rPr>
                <w:rFonts w:hint="default"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 xml:space="preserve">  4</w:t>
            </w:r>
          </w:p>
        </w:tc>
        <w:tc>
          <w:tcPr>
            <w:tcW w:w="4710" w:type="dxa"/>
            <w:vAlign w:val="center"/>
          </w:tcPr>
          <w:p>
            <w:pPr>
              <w:jc w:val="left"/>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 xml:space="preserve">如何完善基础教育和高等教育贯通培养机制？ </w:t>
            </w:r>
          </w:p>
        </w:tc>
        <w:tc>
          <w:tcPr>
            <w:tcW w:w="1425" w:type="dxa"/>
            <w:vAlign w:val="center"/>
          </w:tcPr>
          <w:p>
            <w:pPr>
              <w:jc w:val="center"/>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教务处</w:t>
            </w:r>
          </w:p>
          <w:p>
            <w:pPr>
              <w:jc w:val="center"/>
              <w:rPr>
                <w:rFonts w:hint="default"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各学院</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930" w:type="dxa"/>
            <w:vMerge w:val="continue"/>
            <w:vAlign w:val="center"/>
          </w:tcPr>
          <w:p>
            <w:pPr>
              <w:jc w:val="center"/>
              <w:rPr>
                <w:rFonts w:hint="eastAsia" w:ascii="宋体" w:hAnsi="宋体" w:cs="宋体"/>
                <w:sz w:val="21"/>
                <w:szCs w:val="21"/>
                <w:vertAlign w:val="baseline"/>
                <w:lang w:val="en-US" w:eastAsia="zh-CN"/>
              </w:rPr>
            </w:pP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5</w:t>
            </w:r>
          </w:p>
        </w:tc>
        <w:tc>
          <w:tcPr>
            <w:tcW w:w="4710" w:type="dxa"/>
            <w:vAlign w:val="center"/>
          </w:tcPr>
          <w:p>
            <w:pPr>
              <w:jc w:val="left"/>
              <w:rPr>
                <w:rFonts w:hint="eastAsia"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如何深化</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四新</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学科建设、加强</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六卓越</w:t>
            </w:r>
            <w:r>
              <w:rPr>
                <w:rFonts w:hint="default" w:ascii="黑体" w:hAnsi="黑体" w:eastAsia="黑体" w:cs="黑体"/>
                <w:color w:val="000000"/>
                <w:kern w:val="0"/>
                <w:sz w:val="21"/>
                <w:szCs w:val="21"/>
                <w:lang w:val="en-US" w:eastAsia="zh-CN"/>
              </w:rPr>
              <w:t>”</w:t>
            </w:r>
            <w:r>
              <w:rPr>
                <w:rFonts w:hint="eastAsia" w:ascii="黑体" w:hAnsi="黑体" w:eastAsia="黑体" w:cs="黑体"/>
                <w:color w:val="000000"/>
                <w:kern w:val="0"/>
                <w:sz w:val="21"/>
                <w:szCs w:val="21"/>
                <w:lang w:val="en-US" w:eastAsia="zh-CN"/>
              </w:rPr>
              <w:t>人才培养？</w:t>
            </w:r>
          </w:p>
        </w:tc>
        <w:tc>
          <w:tcPr>
            <w:tcW w:w="1425" w:type="dxa"/>
            <w:vAlign w:val="center"/>
          </w:tcPr>
          <w:p>
            <w:pPr>
              <w:jc w:val="center"/>
              <w:rPr>
                <w:rFonts w:hint="eastAsia"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教务处</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930" w:type="dxa"/>
            <w:vAlign w:val="center"/>
          </w:tcPr>
          <w:p>
            <w:pPr>
              <w:jc w:val="both"/>
              <w:rPr>
                <w:rFonts w:hint="eastAsia"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四、关于加快建设中特色、世界一流大学和优势学科</w:t>
            </w: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6</w:t>
            </w:r>
          </w:p>
        </w:tc>
        <w:tc>
          <w:tcPr>
            <w:tcW w:w="4710" w:type="dxa"/>
            <w:vAlign w:val="center"/>
          </w:tcPr>
          <w:p>
            <w:pPr>
              <w:numPr>
                <w:ilvl w:val="0"/>
                <w:numId w:val="0"/>
              </w:numPr>
              <w:jc w:val="left"/>
              <w:rPr>
                <w:rFonts w:hint="eastAsia"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如何以加强基础学科、新兴学科、交叉学科建设为抓手，加快建设中国特色、世界一流大学和优势学科？</w:t>
            </w:r>
          </w:p>
        </w:tc>
        <w:tc>
          <w:tcPr>
            <w:tcW w:w="1425" w:type="dxa"/>
            <w:vAlign w:val="center"/>
          </w:tcPr>
          <w:p>
            <w:pPr>
              <w:jc w:val="center"/>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教务处</w:t>
            </w:r>
          </w:p>
          <w:p>
            <w:pPr>
              <w:jc w:val="center"/>
              <w:rPr>
                <w:rFonts w:hint="default" w:ascii="宋体" w:hAnsi="宋体" w:eastAsia="宋体" w:cs="宋体"/>
                <w:kern w:val="2"/>
                <w:sz w:val="21"/>
                <w:szCs w:val="21"/>
                <w:vertAlign w:val="baseline"/>
                <w:lang w:val="en-US" w:eastAsia="zh-CN" w:bidi="ar-SA"/>
              </w:rPr>
            </w:pPr>
            <w:r>
              <w:rPr>
                <w:rFonts w:hint="eastAsia" w:ascii="黑体" w:hAnsi="黑体" w:eastAsia="黑体" w:cs="黑体"/>
                <w:color w:val="000000"/>
                <w:kern w:val="0"/>
                <w:sz w:val="21"/>
                <w:szCs w:val="21"/>
                <w:lang w:val="en-US" w:eastAsia="zh-CN"/>
              </w:rPr>
              <w:t>各学院</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930" w:type="dxa"/>
            <w:vMerge w:val="restart"/>
            <w:vAlign w:val="center"/>
          </w:tcPr>
          <w:p>
            <w:pPr>
              <w:jc w:val="center"/>
              <w:rPr>
                <w:rFonts w:hint="eastAsia"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五、关于开展协同创新，服务高水平科技自立自强</w:t>
            </w: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7</w:t>
            </w:r>
          </w:p>
        </w:tc>
        <w:tc>
          <w:tcPr>
            <w:tcW w:w="4710" w:type="dxa"/>
            <w:vAlign w:val="center"/>
          </w:tcPr>
          <w:p>
            <w:pPr>
              <w:jc w:val="both"/>
              <w:rPr>
                <w:rFonts w:hint="eastAsia"/>
                <w:lang w:val="en-US" w:eastAsia="zh-CN"/>
              </w:rPr>
            </w:pPr>
            <w:r>
              <w:rPr>
                <w:rFonts w:hint="eastAsia" w:ascii="黑体" w:hAnsi="宋体" w:eastAsia="黑体" w:cs="黑体"/>
                <w:color w:val="000000"/>
                <w:kern w:val="0"/>
                <w:sz w:val="21"/>
                <w:szCs w:val="21"/>
                <w:lang w:val="en-US" w:eastAsia="zh-CN"/>
              </w:rPr>
              <w:t>应如何理解和把握</w:t>
            </w:r>
            <w:r>
              <w:rPr>
                <w:rFonts w:hint="default" w:ascii="黑体" w:hAnsi="宋体" w:eastAsia="黑体" w:cs="黑体"/>
                <w:color w:val="000000"/>
                <w:kern w:val="0"/>
                <w:sz w:val="21"/>
                <w:szCs w:val="21"/>
                <w:lang w:val="en-US" w:eastAsia="zh-CN"/>
              </w:rPr>
              <w:t>“</w:t>
            </w:r>
            <w:r>
              <w:rPr>
                <w:rFonts w:hint="eastAsia" w:ascii="黑体" w:hAnsi="宋体" w:eastAsia="黑体" w:cs="黑体"/>
                <w:color w:val="000000"/>
                <w:kern w:val="0"/>
                <w:sz w:val="21"/>
                <w:szCs w:val="21"/>
                <w:lang w:val="en-US" w:eastAsia="zh-CN"/>
              </w:rPr>
              <w:t>统筹职业教育、高等教育、继续教育协同创新，推进职普融通、产教融合、科教融汇</w:t>
            </w:r>
            <w:r>
              <w:rPr>
                <w:rFonts w:hint="default" w:ascii="黑体" w:hAnsi="宋体" w:eastAsia="黑体" w:cs="黑体"/>
                <w:color w:val="000000"/>
                <w:kern w:val="0"/>
                <w:sz w:val="21"/>
                <w:szCs w:val="21"/>
                <w:lang w:val="en-US" w:eastAsia="zh-CN"/>
              </w:rPr>
              <w:t>”</w:t>
            </w:r>
            <w:r>
              <w:rPr>
                <w:rFonts w:hint="eastAsia" w:ascii="黑体" w:hAnsi="宋体" w:eastAsia="黑体" w:cs="黑体"/>
                <w:color w:val="000000"/>
                <w:kern w:val="0"/>
                <w:sz w:val="21"/>
                <w:szCs w:val="21"/>
                <w:lang w:val="en-US" w:eastAsia="zh-CN"/>
              </w:rPr>
              <w:t>？</w:t>
            </w:r>
          </w:p>
        </w:tc>
        <w:tc>
          <w:tcPr>
            <w:tcW w:w="1425" w:type="dxa"/>
            <w:vAlign w:val="center"/>
          </w:tcPr>
          <w:p>
            <w:pPr>
              <w:jc w:val="center"/>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教务处</w:t>
            </w:r>
          </w:p>
          <w:p>
            <w:pPr>
              <w:jc w:val="center"/>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继续教育处</w:t>
            </w:r>
          </w:p>
          <w:p>
            <w:pPr>
              <w:jc w:val="center"/>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科技产业处</w:t>
            </w:r>
          </w:p>
          <w:p>
            <w:pPr>
              <w:jc w:val="center"/>
              <w:rPr>
                <w:rFonts w:hint="default"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各学院</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930" w:type="dxa"/>
            <w:vMerge w:val="continue"/>
            <w:vAlign w:val="center"/>
          </w:tcPr>
          <w:p>
            <w:pPr>
              <w:jc w:val="center"/>
              <w:rPr>
                <w:rFonts w:hint="eastAsia" w:ascii="宋体" w:hAnsi="宋体" w:cs="宋体"/>
                <w:sz w:val="21"/>
                <w:szCs w:val="21"/>
                <w:vertAlign w:val="baseline"/>
                <w:lang w:val="en-US" w:eastAsia="zh-CN"/>
              </w:rPr>
            </w:pPr>
          </w:p>
        </w:tc>
        <w:tc>
          <w:tcPr>
            <w:tcW w:w="825" w:type="dxa"/>
            <w:vAlign w:val="center"/>
          </w:tcPr>
          <w:p>
            <w:pPr>
              <w:jc w:val="center"/>
              <w:rPr>
                <w:rFonts w:hint="default" w:ascii="宋体" w:hAnsi="宋体" w:eastAsia="宋体" w:cs="宋体"/>
                <w:sz w:val="21"/>
                <w:szCs w:val="21"/>
                <w:vertAlign w:val="baseline"/>
                <w:lang w:val="en-US" w:eastAsia="zh-CN"/>
              </w:rPr>
            </w:pPr>
            <w:r>
              <w:rPr>
                <w:rFonts w:hint="eastAsia" w:ascii="黑体" w:hAnsi="宋体" w:eastAsia="黑体" w:cs="黑体"/>
                <w:color w:val="000000"/>
                <w:kern w:val="0"/>
                <w:sz w:val="21"/>
                <w:szCs w:val="21"/>
                <w:lang w:val="en-US" w:eastAsia="zh-CN"/>
              </w:rPr>
              <w:t>8</w:t>
            </w:r>
          </w:p>
        </w:tc>
        <w:tc>
          <w:tcPr>
            <w:tcW w:w="4710" w:type="dxa"/>
            <w:vAlign w:val="center"/>
          </w:tcPr>
          <w:p>
            <w:pPr>
              <w:jc w:val="left"/>
              <w:rPr>
                <w:rFonts w:hint="eastAsia" w:ascii="宋体" w:hAnsi="宋体" w:eastAsia="宋体" w:cs="宋体"/>
                <w:kern w:val="2"/>
                <w:sz w:val="21"/>
                <w:szCs w:val="21"/>
                <w:vertAlign w:val="baseline"/>
                <w:lang w:val="en-US" w:eastAsia="zh-CN" w:bidi="ar-SA"/>
              </w:rPr>
            </w:pPr>
            <w:r>
              <w:rPr>
                <w:rFonts w:hint="eastAsia" w:ascii="黑体" w:hAnsi="宋体" w:eastAsia="黑体" w:cs="黑体"/>
                <w:color w:val="000000"/>
                <w:kern w:val="0"/>
                <w:sz w:val="21"/>
                <w:szCs w:val="21"/>
                <w:lang w:val="en-US" w:eastAsia="zh-CN"/>
              </w:rPr>
              <w:t xml:space="preserve">如何加强有组织科研，聚力进行原创性、引领性科技攻关？ </w:t>
            </w:r>
          </w:p>
        </w:tc>
        <w:tc>
          <w:tcPr>
            <w:tcW w:w="1425" w:type="dxa"/>
            <w:vAlign w:val="center"/>
          </w:tcPr>
          <w:p>
            <w:pPr>
              <w:jc w:val="center"/>
              <w:rPr>
                <w:rFonts w:hint="eastAsia" w:ascii="宋体" w:hAnsi="宋体" w:cs="宋体"/>
                <w:kern w:val="2"/>
                <w:sz w:val="21"/>
                <w:szCs w:val="21"/>
                <w:vertAlign w:val="baseline"/>
                <w:lang w:val="en-US" w:eastAsia="zh-CN" w:bidi="ar-SA"/>
              </w:rPr>
            </w:pPr>
            <w:r>
              <w:rPr>
                <w:rFonts w:hint="eastAsia" w:ascii="黑体" w:hAnsi="宋体" w:eastAsia="黑体" w:cs="黑体"/>
                <w:color w:val="000000"/>
                <w:kern w:val="0"/>
                <w:sz w:val="21"/>
                <w:szCs w:val="21"/>
                <w:lang w:val="en-US" w:eastAsia="zh-CN"/>
              </w:rPr>
              <w:t>科技产业处</w:t>
            </w:r>
          </w:p>
        </w:tc>
        <w:tc>
          <w:tcPr>
            <w:tcW w:w="1140" w:type="dxa"/>
            <w:vAlign w:val="center"/>
          </w:tcPr>
          <w:p>
            <w:pPr>
              <w:jc w:val="center"/>
              <w:rPr>
                <w:rFonts w:hint="eastAsia" w:ascii="宋体" w:hAnsi="宋体" w:eastAsia="宋体" w:cs="宋体"/>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930" w:type="dxa"/>
            <w:vMerge w:val="restart"/>
          </w:tcPr>
          <w:p>
            <w:pPr>
              <w:jc w:val="left"/>
              <w:rPr>
                <w:rFonts w:hint="eastAsia" w:ascii="黑体" w:hAnsi="宋体" w:eastAsia="黑体" w:cs="黑体"/>
                <w:color w:val="000000"/>
                <w:kern w:val="0"/>
                <w:sz w:val="21"/>
                <w:szCs w:val="21"/>
                <w:lang w:val="en-US" w:eastAsia="zh-CN"/>
              </w:rPr>
            </w:pPr>
          </w:p>
          <w:p>
            <w:pPr>
              <w:jc w:val="left"/>
              <w:rPr>
                <w:rFonts w:hint="eastAsia" w:ascii="黑体" w:hAnsi="宋体" w:eastAsia="黑体" w:cs="黑体"/>
                <w:color w:val="000000"/>
                <w:kern w:val="0"/>
                <w:sz w:val="21"/>
                <w:szCs w:val="21"/>
                <w:lang w:val="en-US" w:eastAsia="zh-CN"/>
              </w:rPr>
            </w:pPr>
            <w:r>
              <w:rPr>
                <w:rFonts w:hint="eastAsia" w:ascii="黑体" w:hAnsi="宋体" w:eastAsia="黑体" w:cs="黑体"/>
                <w:color w:val="000000"/>
                <w:kern w:val="0"/>
                <w:sz w:val="21"/>
                <w:szCs w:val="21"/>
                <w:lang w:val="en-US" w:eastAsia="zh-CN"/>
              </w:rPr>
              <w:t>六、关于深化综合改革</w:t>
            </w:r>
          </w:p>
        </w:tc>
        <w:tc>
          <w:tcPr>
            <w:tcW w:w="8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9</w:t>
            </w:r>
          </w:p>
        </w:tc>
        <w:tc>
          <w:tcPr>
            <w:tcW w:w="4710" w:type="dxa"/>
            <w:vAlign w:val="center"/>
          </w:tcPr>
          <w:p>
            <w:pPr>
              <w:numPr>
                <w:ilvl w:val="0"/>
                <w:numId w:val="0"/>
              </w:numPr>
              <w:jc w:val="both"/>
              <w:rPr>
                <w:rFonts w:hint="eastAsia"/>
                <w:lang w:val="en-US" w:eastAsia="zh-CN"/>
              </w:rPr>
            </w:pPr>
            <w:r>
              <w:rPr>
                <w:rFonts w:hint="eastAsia" w:ascii="黑体" w:hAnsi="宋体" w:eastAsia="黑体" w:cs="黑体"/>
                <w:color w:val="000000"/>
                <w:kern w:val="0"/>
                <w:sz w:val="21"/>
                <w:szCs w:val="21"/>
                <w:lang w:val="en-US" w:eastAsia="zh-CN"/>
              </w:rPr>
              <w:t>如何进一步改革和完善考试招生制度？</w:t>
            </w:r>
          </w:p>
        </w:tc>
        <w:tc>
          <w:tcPr>
            <w:tcW w:w="14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招生就业办公室</w:t>
            </w:r>
          </w:p>
        </w:tc>
        <w:tc>
          <w:tcPr>
            <w:tcW w:w="1140" w:type="dxa"/>
            <w:vAlign w:val="center"/>
          </w:tcPr>
          <w:p>
            <w:pPr>
              <w:jc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930" w:type="dxa"/>
            <w:vMerge w:val="continue"/>
          </w:tcPr>
          <w:p>
            <w:pPr>
              <w:jc w:val="left"/>
              <w:rPr>
                <w:rFonts w:hint="eastAsia" w:ascii="黑体" w:hAnsi="宋体" w:eastAsia="黑体" w:cs="黑体"/>
                <w:color w:val="000000"/>
                <w:kern w:val="0"/>
                <w:sz w:val="21"/>
                <w:szCs w:val="21"/>
                <w:lang w:val="en-US" w:eastAsia="zh-CN"/>
              </w:rPr>
            </w:pPr>
          </w:p>
        </w:tc>
        <w:tc>
          <w:tcPr>
            <w:tcW w:w="8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10</w:t>
            </w:r>
          </w:p>
        </w:tc>
        <w:tc>
          <w:tcPr>
            <w:tcW w:w="4710" w:type="dxa"/>
            <w:vAlign w:val="center"/>
          </w:tcPr>
          <w:p>
            <w:pPr>
              <w:numPr>
                <w:ilvl w:val="0"/>
                <w:numId w:val="0"/>
              </w:numPr>
              <w:jc w:val="both"/>
              <w:rPr>
                <w:rFonts w:hint="eastAsia"/>
                <w:lang w:val="en-US" w:eastAsia="zh-CN"/>
              </w:rPr>
            </w:pPr>
            <w:r>
              <w:rPr>
                <w:rFonts w:hint="eastAsia" w:ascii="黑体" w:hAnsi="宋体" w:eastAsia="黑体" w:cs="黑体"/>
                <w:color w:val="000000"/>
                <w:kern w:val="0"/>
                <w:sz w:val="21"/>
                <w:szCs w:val="21"/>
                <w:lang w:val="en-US" w:eastAsia="zh-CN"/>
              </w:rPr>
              <w:t>应如何创新教育国际交流合作的模式、路径，统筹利用世界一流资源，服务人才自主培养</w:t>
            </w:r>
          </w:p>
        </w:tc>
        <w:tc>
          <w:tcPr>
            <w:tcW w:w="14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外语与商务学院（国际教育学院）</w:t>
            </w:r>
          </w:p>
        </w:tc>
        <w:tc>
          <w:tcPr>
            <w:tcW w:w="1140" w:type="dxa"/>
            <w:vAlign w:val="center"/>
          </w:tcPr>
          <w:p>
            <w:pPr>
              <w:jc w:val="center"/>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930" w:type="dxa"/>
            <w:vAlign w:val="center"/>
          </w:tcPr>
          <w:p>
            <w:pPr>
              <w:jc w:val="left"/>
              <w:rPr>
                <w:rFonts w:hint="eastAsia" w:ascii="黑体" w:hAnsi="宋体" w:eastAsia="黑体" w:cs="黑体"/>
                <w:color w:val="000000"/>
                <w:kern w:val="0"/>
                <w:sz w:val="21"/>
                <w:szCs w:val="21"/>
                <w:lang w:val="en-US" w:eastAsia="zh-CN"/>
              </w:rPr>
            </w:pPr>
            <w:r>
              <w:rPr>
                <w:rFonts w:hint="eastAsia" w:ascii="黑体" w:hAnsi="宋体" w:eastAsia="黑体" w:cs="黑体"/>
                <w:color w:val="000000"/>
                <w:kern w:val="0"/>
                <w:sz w:val="21"/>
                <w:szCs w:val="21"/>
                <w:lang w:val="en-US" w:eastAsia="zh-CN"/>
              </w:rPr>
              <w:t>七、关于推进教育数字化</w:t>
            </w:r>
          </w:p>
        </w:tc>
        <w:tc>
          <w:tcPr>
            <w:tcW w:w="8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11</w:t>
            </w:r>
          </w:p>
        </w:tc>
        <w:tc>
          <w:tcPr>
            <w:tcW w:w="4710" w:type="dxa"/>
            <w:vAlign w:val="center"/>
          </w:tcPr>
          <w:p>
            <w:pPr>
              <w:jc w:val="left"/>
              <w:rPr>
                <w:rFonts w:hint="eastAsia" w:ascii="黑体" w:hAnsi="宋体" w:eastAsia="黑体" w:cs="黑体"/>
                <w:color w:val="000000"/>
                <w:kern w:val="0"/>
                <w:sz w:val="21"/>
                <w:szCs w:val="21"/>
                <w:lang w:val="en-US" w:eastAsia="zh-CN"/>
              </w:rPr>
            </w:pPr>
            <w:r>
              <w:rPr>
                <w:rFonts w:hint="eastAsia" w:ascii="黑体" w:hAnsi="宋体" w:eastAsia="黑体" w:cs="黑体"/>
                <w:color w:val="000000"/>
                <w:kern w:val="0"/>
                <w:sz w:val="21"/>
                <w:szCs w:val="21"/>
                <w:lang w:val="en-US" w:eastAsia="zh-CN"/>
              </w:rPr>
              <w:t>应如何抓住数字化战略机遇，进一步扩大我国高等教育在世界在线教育领域的领跑地位，提升国际话语权和规则制定权？</w:t>
            </w:r>
          </w:p>
          <w:p>
            <w:pPr>
              <w:numPr>
                <w:ilvl w:val="0"/>
                <w:numId w:val="0"/>
              </w:numPr>
              <w:jc w:val="both"/>
              <w:rPr>
                <w:rFonts w:hint="eastAsia"/>
                <w:lang w:val="en-US" w:eastAsia="zh-CN"/>
              </w:rPr>
            </w:pPr>
          </w:p>
        </w:tc>
        <w:tc>
          <w:tcPr>
            <w:tcW w:w="1425" w:type="dxa"/>
            <w:vAlign w:val="center"/>
          </w:tcPr>
          <w:p>
            <w:pPr>
              <w:jc w:val="center"/>
              <w:rPr>
                <w:rFonts w:hint="default" w:ascii="宋体" w:hAnsi="宋体" w:cs="宋体"/>
                <w:sz w:val="21"/>
                <w:szCs w:val="21"/>
                <w:vertAlign w:val="baseline"/>
                <w:lang w:val="en-US" w:eastAsia="zh-CN"/>
              </w:rPr>
            </w:pPr>
            <w:r>
              <w:rPr>
                <w:rFonts w:hint="eastAsia" w:ascii="黑体" w:hAnsi="宋体" w:eastAsia="黑体" w:cs="黑体"/>
                <w:color w:val="000000"/>
                <w:kern w:val="0"/>
                <w:sz w:val="21"/>
                <w:szCs w:val="21"/>
                <w:lang w:val="en-US" w:eastAsia="zh-CN"/>
              </w:rPr>
              <w:t>信息化建设中心</w:t>
            </w:r>
          </w:p>
        </w:tc>
        <w:tc>
          <w:tcPr>
            <w:tcW w:w="1140" w:type="dxa"/>
            <w:vAlign w:val="center"/>
          </w:tcPr>
          <w:p>
            <w:pPr>
              <w:jc w:val="center"/>
              <w:rPr>
                <w:rFonts w:hint="eastAsia" w:ascii="宋体" w:hAnsi="宋体" w:eastAsia="宋体" w:cs="宋体"/>
                <w:sz w:val="21"/>
                <w:szCs w:val="21"/>
                <w:vertAlign w:val="baseline"/>
                <w:lang w:val="en-US" w:eastAsia="zh-CN"/>
              </w:rPr>
            </w:pPr>
          </w:p>
        </w:tc>
      </w:tr>
    </w:tbl>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CDA8C7-4525-412B-88C2-38D2068B986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A50DA442-6861-47FD-B5A2-AAB7509AFC06}"/>
  </w:font>
  <w:font w:name="仿宋_GB2312">
    <w:altName w:val="仿宋"/>
    <w:panose1 w:val="00000000000000000000"/>
    <w:charset w:val="00"/>
    <w:family w:val="auto"/>
    <w:pitch w:val="default"/>
    <w:sig w:usb0="00000000" w:usb1="00000000" w:usb2="00000000" w:usb3="00000000" w:csb0="00000000" w:csb1="00000000"/>
    <w:embedRegular r:id="rId3" w:fontKey="{870BD218-7565-476E-AD78-C9BF7DA40E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4" w:fontKey="{C8E4A02E-2534-44B8-902D-908413D8883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ZjY4ODYzYjFjN2I4ZDBiZmEwMzVkYzY5YWY1NzYifQ=="/>
  </w:docVars>
  <w:rsids>
    <w:rsidRoot w:val="00000000"/>
    <w:rsid w:val="29514292"/>
    <w:rsid w:val="4B032857"/>
    <w:rsid w:val="6EA14944"/>
    <w:rsid w:val="73176980"/>
    <w:rsid w:val="7D8D5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qFormat/>
    <w:uiPriority w:val="0"/>
  </w:style>
  <w:style w:type="table" w:default="1" w:styleId="2">
    <w:name w:val="Normal Table"/>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1930</Words>
  <Characters>1972</Characters>
  <Paragraphs>119</Paragraphs>
  <TotalTime>21</TotalTime>
  <ScaleCrop>false</ScaleCrop>
  <LinksUpToDate>false</LinksUpToDate>
  <CharactersWithSpaces>2017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2022-11-17T11:28:00Z</dcterms:created>
  <dc:creator>Jacky</dc:creator>
  <cp:lastModifiedBy>wwf</cp:lastModifiedBy>
  <dcterms:modified xsi:type="dcterms:W3CDTF">2022-11-20T05:37:22Z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C1C392C1E091459B863250CC609C90E7</vt:lpwstr>
  </property>
</Properties>
</file>