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B49D4">
      <w:pPr>
        <w:shd w:val="clear" w:color="auto" w:fill="auto"/>
        <w:jc w:val="center"/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32"/>
          <w:szCs w:val="32"/>
          <w:highlight w:val="none"/>
        </w:rPr>
        <w:t>连云港师范学院</w:t>
      </w:r>
      <w:r>
        <w:rPr>
          <w:rFonts w:hint="eastAsia" w:ascii="Times New Roman" w:hAnsi="Times New Roman" w:eastAsia="方正小标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 xml:space="preserve"> 初等教育学院</w:t>
      </w:r>
    </w:p>
    <w:p w14:paraId="79B0D52B">
      <w:pPr>
        <w:shd w:val="clear" w:color="auto" w:fill="auto"/>
        <w:jc w:val="center"/>
        <w:rPr>
          <w:rFonts w:hint="eastAsia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32"/>
          <w:szCs w:val="32"/>
          <w:highlight w:val="none"/>
        </w:rPr>
        <w:t>2025级</w:t>
      </w:r>
      <w:r>
        <w:rPr>
          <w:rFonts w:hint="default" w:ascii="Times New Roman" w:hAnsi="Times New Roman" w:eastAsia="方正小标宋_GBK" w:cs="Times New Roman"/>
          <w:color w:val="000000"/>
          <w:kern w:val="0"/>
          <w:sz w:val="32"/>
          <w:szCs w:val="32"/>
          <w:highlight w:val="none"/>
        </w:rPr>
        <w:t>普通全日制</w:t>
      </w:r>
      <w:r>
        <w:rPr>
          <w:rFonts w:hint="default" w:ascii="Times New Roman" w:hAnsi="Times New Roman" w:eastAsia="方正小标宋_GBK" w:cs="Times New Roman"/>
          <w:b w:val="0"/>
          <w:bCs w:val="0"/>
          <w:color w:val="000000"/>
          <w:sz w:val="32"/>
          <w:szCs w:val="32"/>
          <w:highlight w:val="none"/>
        </w:rPr>
        <w:t>本科生转专业工作实施细则</w:t>
      </w:r>
    </w:p>
    <w:p w14:paraId="765408E3">
      <w:pPr>
        <w:keepNext w:val="0"/>
        <w:keepLines w:val="0"/>
        <w:pageBreakBefore w:val="0"/>
        <w:widowControl/>
        <w:suppressLineNumbers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为规范有序开展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学院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2025级普通全日制本科生转专业工作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依据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eastAsia="zh-CN"/>
        </w:rPr>
        <w:t>《连云港师范学院本科生转专业实施办法》（连师〔2025〕32号）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相关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要求，结合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学院本科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专业办学实际，制定本细则。本细则适用于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初等教育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学院2025级全日制普通本科学生转出、外院学生转入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相关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工作，遵循志愿优先、择优录取、总量管控、规范透明原则。</w:t>
      </w:r>
    </w:p>
    <w:p w14:paraId="31848D1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</w:rPr>
        <w:t>、学院转专业工作小组</w:t>
      </w:r>
    </w:p>
    <w:p w14:paraId="5173904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楷体" w:hAnsi="楷体" w:eastAsia="楷体" w:cs="楷体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highlight w:val="none"/>
        </w:rPr>
        <w:t>（一）工作小组</w:t>
      </w: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highlight w:val="none"/>
          <w:lang w:val="en-US" w:eastAsia="zh-CN"/>
        </w:rPr>
        <w:t>构成</w:t>
      </w:r>
    </w:p>
    <w:p w14:paraId="58738CF6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before="0" w:after="0"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组  长：赵</w:t>
      </w:r>
      <w:r>
        <w:rPr>
          <w:rFonts w:hint="eastAsia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江  </w:t>
      </w:r>
      <w:r>
        <w:rPr>
          <w:rFonts w:hint="eastAsia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吉广萍</w:t>
      </w:r>
    </w:p>
    <w:p w14:paraId="6EC7296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副组长：刁彭成  臧</w:t>
      </w:r>
      <w:r>
        <w:rPr>
          <w:rFonts w:hint="eastAsia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蕾  </w:t>
      </w:r>
    </w:p>
    <w:p w14:paraId="111C1AA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成  员：朱</w:t>
      </w:r>
      <w:r>
        <w:rPr>
          <w:rFonts w:hint="eastAsia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凯  任</w:t>
      </w:r>
      <w:r>
        <w:rPr>
          <w:rFonts w:hint="eastAsia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翔  武</w:t>
      </w:r>
      <w:r>
        <w:rPr>
          <w:rFonts w:hint="eastAsia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丹  姚</w:t>
      </w:r>
      <w:r>
        <w:rPr>
          <w:rFonts w:hint="eastAsia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default" w:ascii="Times New Roman" w:hAnsi="Times New Roman" w:eastAsia="仿宋_GB2312" w:cs="Times New Roman"/>
          <w:color w:val="000000" w:themeColor="text1"/>
          <w:kern w:val="2"/>
          <w:sz w:val="28"/>
          <w:szCs w:val="28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 xml:space="preserve">辉  王乐美    </w:t>
      </w:r>
    </w:p>
    <w:p w14:paraId="2677490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楷体" w:hAnsi="楷体" w:eastAsia="楷体" w:cs="楷体"/>
          <w:b/>
          <w:bCs/>
          <w:color w:val="000000"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highlight w:val="none"/>
        </w:rPr>
        <w:t>（二）职责分工</w:t>
      </w:r>
    </w:p>
    <w:p w14:paraId="4E96A6C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39" w:leftChars="114" w:firstLine="280" w:firstLineChars="1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组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长：对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学院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转专业工作负总责，审定接收计划、面试方案、拟录取名单，协调重大事项。</w:t>
      </w:r>
    </w:p>
    <w:p w14:paraId="6497362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副组长：统筹资格审核、成绩核算、学业衔接；负责政策宣讲、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信息核查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、学生沟通、纪律监督。</w:t>
      </w:r>
    </w:p>
    <w:p w14:paraId="1B8355E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成  员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：开展政策解读、指导学生填报、核实家长知情签字、初审学籍与处分记录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eastAsia="zh-CN"/>
        </w:rPr>
        <w:t>；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制定面试评分标准、参与面试考核、设计转入学生修读计划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eastAsia="zh-CN"/>
        </w:rPr>
        <w:t>；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汇总申请材料、核对绩点与排名、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梳理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公示材料、归档全程资料。</w:t>
      </w:r>
    </w:p>
    <w:p w14:paraId="653A0EF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楷体" w:hAnsi="楷体" w:eastAsia="楷体" w:cs="楷体"/>
          <w:b/>
          <w:bCs/>
          <w:color w:val="000000"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b/>
          <w:bCs/>
          <w:color w:val="000000"/>
          <w:sz w:val="28"/>
          <w:szCs w:val="28"/>
          <w:highlight w:val="none"/>
        </w:rPr>
        <w:t>（三）纪检监督安排</w:t>
      </w:r>
    </w:p>
    <w:p w14:paraId="3A99756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学院纪检委员全程参与转专业资格审核、面试、成绩核算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拟录取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公示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关键环节，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进行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现场监督，确保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工作流程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合规。</w:t>
      </w:r>
    </w:p>
    <w:p w14:paraId="1CDC375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FF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2.设置学院转专业工作咨询电话，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联系人：刁老师，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电话号码：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17851289588</w:t>
      </w:r>
      <w:r>
        <w:rPr>
          <w:rFonts w:hint="default" w:ascii="Times New Roman" w:hAnsi="Times New Roman" w:eastAsia="仿宋_GB2312" w:cs="Times New Roman"/>
          <w:color w:val="0000FF"/>
          <w:sz w:val="28"/>
          <w:szCs w:val="28"/>
          <w:highlight w:val="none"/>
          <w:lang w:val="en-US" w:eastAsia="zh-CN"/>
        </w:rPr>
        <w:t>。</w:t>
      </w:r>
    </w:p>
    <w:p w14:paraId="20B0E10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</w:rPr>
        <w:t>、转出学生资格初审规则、流程、公示与异议处理</w:t>
      </w:r>
    </w:p>
    <w:p w14:paraId="2AE3B8C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highlight w:val="none"/>
          <w:lang w:val="en-US" w:eastAsia="zh-CN"/>
        </w:rPr>
        <w:t>（一）资格初审工作规则</w:t>
      </w:r>
    </w:p>
    <w:p w14:paraId="5A21D17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申请学生须完成第一学年所有必修课程的学习，两学期必修课程平均学分绩点在班级排名前 60%（含），在校期间无任何纪律处分记录，入学满一学期。</w:t>
      </w:r>
    </w:p>
    <w:p w14:paraId="4AB3F9B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2.申请转专业且初审合格的学生人数不超过班级总人数的25%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若班级初审合格申请人数超出该上限，则按学生两学期必修课程平均学分绩点由高到低排序，确定最终转出报名资格。</w:t>
      </w:r>
    </w:p>
    <w:p w14:paraId="407A809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3.处于休学、保留学籍期间的学生不得申请转专业，不得跨类申请体育类专业。</w:t>
      </w:r>
    </w:p>
    <w:p w14:paraId="49AF108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highlight w:val="none"/>
        </w:rPr>
        <w:t>（二）</w:t>
      </w:r>
      <w:r>
        <w:rPr>
          <w:rFonts w:hint="eastAsia" w:ascii="楷体" w:hAnsi="楷体" w:eastAsia="楷体" w:cs="楷体"/>
          <w:color w:val="000000"/>
          <w:sz w:val="28"/>
          <w:szCs w:val="28"/>
          <w:highlight w:val="none"/>
          <w:lang w:val="en-US" w:eastAsia="zh-CN"/>
        </w:rPr>
        <w:t>审核</w:t>
      </w:r>
      <w:r>
        <w:rPr>
          <w:rFonts w:hint="eastAsia" w:ascii="楷体" w:hAnsi="楷体" w:eastAsia="楷体" w:cs="楷体"/>
          <w:color w:val="000000"/>
          <w:sz w:val="28"/>
          <w:szCs w:val="28"/>
          <w:highlight w:val="none"/>
        </w:rPr>
        <w:t>流程</w:t>
      </w:r>
    </w:p>
    <w:p w14:paraId="6540619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1.2026年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7月初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，完成本院申请学生的资格初审。审核内容包括：学生学籍状态、纪律处分记录、必修课程平均学分绩点与班级排名、是否符合转出名额管控要求、申请材料真实性、是否存在禁转情形；审核过程中，严格以教务系统导出的2025级学生第一</w:t>
      </w:r>
      <w:r>
        <w:rPr>
          <w:rFonts w:hint="eastAsia" w:ascii="Times New Roman" w:hAnsi="Times New Roman" w:eastAsia="方正仿宋_GB2312" w:cs="Times New Roman"/>
          <w:color w:val="000000"/>
          <w:kern w:val="0"/>
          <w:sz w:val="28"/>
          <w:szCs w:val="28"/>
          <w:highlight w:val="none"/>
          <w:lang w:val="en-US" w:eastAsia="zh-CN"/>
        </w:rPr>
        <w:t>学年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必修课程平均学分绩点、班级排名数据为唯一依据。</w:t>
      </w:r>
    </w:p>
    <w:p w14:paraId="6AA6239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对申请人数超出班级总人数25%上限的班级，严格按两学期必修课程平均学分绩点由高到低排序，确定初审合格名单，超额人员不予通过初审。</w:t>
      </w:r>
    </w:p>
    <w:p w14:paraId="71ABAE0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highlight w:val="none"/>
        </w:rPr>
        <w:t>（三）公示与异议处理</w:t>
      </w:r>
    </w:p>
    <w:p w14:paraId="2FD6A22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2026年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7月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上旬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在学院官网、公告栏公示初审合格名单，公示3个工作日，含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学生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姓名、学号、班级、绩点排名、初审结果。</w:t>
      </w:r>
    </w:p>
    <w:p w14:paraId="158D1C1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公示期内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如有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异议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以书面形式提交学院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转专业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工作小组，3个工作日内核查并书面反馈。无异议后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学院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将初审合格名单与材料报送教务处。</w:t>
      </w:r>
    </w:p>
    <w:p w14:paraId="6CA3053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</w:rPr>
        <w:t>、</w:t>
      </w:r>
      <w:r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  <w:lang w:val="en-US" w:eastAsia="zh-CN"/>
        </w:rPr>
        <w:t>转入</w:t>
      </w:r>
      <w:r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</w:rPr>
        <w:t>专业面试考核方案</w:t>
      </w:r>
    </w:p>
    <w:p w14:paraId="2A89FE9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>（一）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  <w:lang w:val="en-US" w:eastAsia="zh-CN"/>
        </w:rPr>
        <w:t>面试</w:t>
      </w:r>
      <w:r>
        <w:rPr>
          <w:rFonts w:hint="eastAsia" w:ascii="楷体" w:hAnsi="楷体" w:eastAsia="楷体" w:cs="楷体"/>
          <w:color w:val="auto"/>
          <w:sz w:val="28"/>
          <w:szCs w:val="28"/>
          <w:highlight w:val="none"/>
        </w:rPr>
        <w:t>评委组成规则</w:t>
      </w:r>
    </w:p>
    <w:p w14:paraId="5361BB2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1.面试评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委不少于5人，由专业负责人、骨干教师</w:t>
      </w:r>
      <w:r>
        <w:rPr>
          <w:rFonts w:hint="eastAsia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组成。</w:t>
      </w:r>
    </w:p>
    <w:p w14:paraId="01654F5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严格执行回避制度，与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  <w:t>考生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highlight w:val="none"/>
        </w:rPr>
        <w:t>有亲属关系或利害关系的评委须主动回避。</w:t>
      </w:r>
    </w:p>
    <w:p w14:paraId="66BA709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8"/>
          <w:szCs w:val="28"/>
          <w:highlight w:val="none"/>
          <w:lang w:val="en-US" w:eastAsia="zh-CN"/>
        </w:rPr>
        <w:t>二</w:t>
      </w:r>
      <w:r>
        <w:rPr>
          <w:rFonts w:hint="eastAsia" w:ascii="楷体" w:hAnsi="楷体" w:eastAsia="楷体" w:cs="楷体"/>
          <w:color w:val="000000"/>
          <w:sz w:val="28"/>
          <w:szCs w:val="28"/>
          <w:highlight w:val="none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sz w:val="28"/>
          <w:szCs w:val="28"/>
          <w:highlight w:val="none"/>
          <w:lang w:val="en-US" w:eastAsia="zh-CN"/>
        </w:rPr>
        <w:t>考核内容</w:t>
      </w:r>
    </w:p>
    <w:p w14:paraId="1C8B161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粉笔字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书写</w:t>
      </w:r>
    </w:p>
    <w:p w14:paraId="1C0C268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运用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粉笔字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书写规范汉字，限定字体为正楷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eastAsia="zh-CN"/>
        </w:rPr>
        <w:t>。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书写内容为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考场提供的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一首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言绝句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古诗，限时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分钟完成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。考场提供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小黑板、粉笔等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。</w:t>
      </w:r>
    </w:p>
    <w:p w14:paraId="38F143C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28"/>
          <w:szCs w:val="28"/>
          <w:highlight w:val="none"/>
          <w:lang w:val="en-US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28"/>
          <w:szCs w:val="28"/>
          <w:highlight w:val="none"/>
          <w:lang w:val="en-US" w:eastAsia="zh-CN"/>
        </w:rPr>
        <w:t>2.专业基础知识</w:t>
      </w:r>
    </w:p>
    <w:p w14:paraId="38E993F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FF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采用现场书面测试形式，题型为客观题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与论述题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（客观题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0题，每题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分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；论述题2题，每题10分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），涉及范围为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教育学、心理学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基础常识，测试时长为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0分钟。</w:t>
      </w:r>
    </w:p>
    <w:p w14:paraId="565ABF2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测试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复习参考书目：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（1）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《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教育学原理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（第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版）》，《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教育学原理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》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编写组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高等教育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出版社，20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年1月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；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（2）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《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心理学导论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（第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版）》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，张厚粲，北京师范大学出版社，2024年6月。</w:t>
      </w:r>
    </w:p>
    <w:p w14:paraId="38C9784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3.语言表达</w:t>
      </w:r>
    </w:p>
    <w:p w14:paraId="3BCDB17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考生首先进行自我介绍并答问（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分钟以内），然后朗读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指定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内容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面试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考场提供朗读材料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。</w:t>
      </w:r>
    </w:p>
    <w:p w14:paraId="0F65251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楷体" w:hAnsi="楷体" w:eastAsia="楷体" w:cs="楷体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highlight w:val="none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楷体" w:hAnsi="楷体" w:eastAsia="楷体" w:cs="楷体"/>
          <w:color w:val="000000"/>
          <w:sz w:val="28"/>
          <w:szCs w:val="28"/>
          <w:highlight w:val="none"/>
          <w:lang w:eastAsia="zh-CN"/>
        </w:rPr>
        <w:t>）</w:t>
      </w:r>
      <w:r>
        <w:rPr>
          <w:rFonts w:hint="eastAsia" w:ascii="楷体" w:hAnsi="楷体" w:eastAsia="楷体" w:cs="楷体"/>
          <w:b w:val="0"/>
          <w:bCs/>
          <w:color w:val="000000"/>
          <w:sz w:val="28"/>
          <w:szCs w:val="28"/>
          <w:highlight w:val="none"/>
        </w:rPr>
        <w:t>评</w:t>
      </w:r>
      <w:r>
        <w:rPr>
          <w:rFonts w:hint="eastAsia" w:ascii="楷体" w:hAnsi="楷体" w:eastAsia="楷体" w:cs="楷体"/>
          <w:b w:val="0"/>
          <w:bCs/>
          <w:color w:val="000000"/>
          <w:sz w:val="28"/>
          <w:szCs w:val="28"/>
          <w:highlight w:val="none"/>
          <w:lang w:val="en-US" w:eastAsia="zh-CN"/>
        </w:rPr>
        <w:t>分</w:t>
      </w:r>
      <w:r>
        <w:rPr>
          <w:rFonts w:hint="eastAsia" w:ascii="楷体" w:hAnsi="楷体" w:eastAsia="楷体" w:cs="楷体"/>
          <w:b w:val="0"/>
          <w:bCs/>
          <w:color w:val="000000"/>
          <w:sz w:val="28"/>
          <w:szCs w:val="28"/>
          <w:highlight w:val="none"/>
        </w:rPr>
        <w:t>标准</w:t>
      </w:r>
    </w:p>
    <w:p w14:paraId="715ECD3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粉笔字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书写（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0分）</w:t>
      </w:r>
    </w:p>
    <w:tbl>
      <w:tblPr>
        <w:tblStyle w:val="7"/>
        <w:tblW w:w="0" w:type="auto"/>
        <w:tblInd w:w="2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3136"/>
        <w:gridCol w:w="1005"/>
        <w:gridCol w:w="900"/>
        <w:gridCol w:w="885"/>
        <w:gridCol w:w="787"/>
      </w:tblGrid>
      <w:tr w14:paraId="689E0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420" w:type="dxa"/>
            <w:vMerge w:val="restart"/>
            <w:vAlign w:val="center"/>
          </w:tcPr>
          <w:p w14:paraId="053633F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  <w:t>评价项目</w:t>
            </w:r>
          </w:p>
        </w:tc>
        <w:tc>
          <w:tcPr>
            <w:tcW w:w="3136" w:type="dxa"/>
            <w:vMerge w:val="restart"/>
            <w:vAlign w:val="center"/>
          </w:tcPr>
          <w:p w14:paraId="7512D7F5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  <w:t>评价要点</w:t>
            </w:r>
          </w:p>
        </w:tc>
        <w:tc>
          <w:tcPr>
            <w:tcW w:w="3577" w:type="dxa"/>
            <w:gridSpan w:val="4"/>
            <w:vAlign w:val="center"/>
          </w:tcPr>
          <w:p w14:paraId="5B3626D1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  <w:t>评价等级</w:t>
            </w:r>
          </w:p>
        </w:tc>
      </w:tr>
      <w:tr w14:paraId="7D2B9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  <w:vAlign w:val="center"/>
          </w:tcPr>
          <w:p w14:paraId="72AD9CC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2" w:firstLineChars="20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136" w:type="dxa"/>
            <w:vMerge w:val="continue"/>
            <w:vAlign w:val="center"/>
          </w:tcPr>
          <w:p w14:paraId="690140D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2" w:firstLineChars="200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05" w:type="dxa"/>
            <w:vAlign w:val="center"/>
          </w:tcPr>
          <w:p w14:paraId="66C7A64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  <w:t>优</w:t>
            </w:r>
          </w:p>
        </w:tc>
        <w:tc>
          <w:tcPr>
            <w:tcW w:w="900" w:type="dxa"/>
            <w:vAlign w:val="center"/>
          </w:tcPr>
          <w:p w14:paraId="782F07A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  <w:t>良</w:t>
            </w:r>
          </w:p>
        </w:tc>
        <w:tc>
          <w:tcPr>
            <w:tcW w:w="885" w:type="dxa"/>
            <w:vAlign w:val="center"/>
          </w:tcPr>
          <w:p w14:paraId="2B7007E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  <w:t>中</w:t>
            </w:r>
          </w:p>
        </w:tc>
        <w:tc>
          <w:tcPr>
            <w:tcW w:w="787" w:type="dxa"/>
            <w:vAlign w:val="center"/>
          </w:tcPr>
          <w:p w14:paraId="6AC028FD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  <w:t>差</w:t>
            </w:r>
          </w:p>
        </w:tc>
      </w:tr>
      <w:tr w14:paraId="06247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420" w:type="dxa"/>
            <w:vAlign w:val="center"/>
          </w:tcPr>
          <w:p w14:paraId="7AF1D6B9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  <w:t>书写规范</w:t>
            </w:r>
          </w:p>
        </w:tc>
        <w:tc>
          <w:tcPr>
            <w:tcW w:w="3136" w:type="dxa"/>
            <w:vAlign w:val="center"/>
          </w:tcPr>
          <w:p w14:paraId="78FC417C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  <w:t>笔画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书写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  <w:t>清楚到位，无错别字、繁体字和异体字等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1005" w:type="dxa"/>
            <w:vMerge w:val="restart"/>
            <w:vAlign w:val="center"/>
          </w:tcPr>
          <w:p w14:paraId="44E1991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  <w:t>0-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900" w:type="dxa"/>
            <w:vMerge w:val="restart"/>
            <w:vAlign w:val="center"/>
          </w:tcPr>
          <w:p w14:paraId="3EAF52E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15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885" w:type="dxa"/>
            <w:vMerge w:val="restart"/>
            <w:vAlign w:val="center"/>
          </w:tcPr>
          <w:p w14:paraId="38246A2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787" w:type="dxa"/>
            <w:vMerge w:val="restart"/>
            <w:vAlign w:val="center"/>
          </w:tcPr>
          <w:p w14:paraId="2C31760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-0</w:t>
            </w:r>
          </w:p>
        </w:tc>
      </w:tr>
      <w:tr w14:paraId="12BA7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420" w:type="dxa"/>
            <w:vAlign w:val="center"/>
          </w:tcPr>
          <w:p w14:paraId="009D40C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  <w:t>章法布局</w:t>
            </w:r>
          </w:p>
        </w:tc>
        <w:tc>
          <w:tcPr>
            <w:tcW w:w="3136" w:type="dxa"/>
            <w:vAlign w:val="center"/>
          </w:tcPr>
          <w:p w14:paraId="4B7BF9E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  <w:t>间架结构合理、笔画流畅，章法自然，整体感观舒适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1005" w:type="dxa"/>
            <w:vMerge w:val="continue"/>
            <w:vAlign w:val="center"/>
          </w:tcPr>
          <w:p w14:paraId="28781ED1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900" w:type="dxa"/>
            <w:vMerge w:val="continue"/>
            <w:vAlign w:val="center"/>
          </w:tcPr>
          <w:p w14:paraId="66969E8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885" w:type="dxa"/>
            <w:vMerge w:val="continue"/>
            <w:vAlign w:val="center"/>
          </w:tcPr>
          <w:p w14:paraId="5AC92B1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3C1F84EC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highlight w:val="none"/>
              </w:rPr>
            </w:pPr>
          </w:p>
        </w:tc>
      </w:tr>
      <w:tr w14:paraId="2D531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420" w:type="dxa"/>
            <w:vAlign w:val="center"/>
          </w:tcPr>
          <w:p w14:paraId="54EEFBA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整体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  <w:t>效果</w:t>
            </w:r>
          </w:p>
        </w:tc>
        <w:tc>
          <w:tcPr>
            <w:tcW w:w="3136" w:type="dxa"/>
            <w:vAlign w:val="center"/>
          </w:tcPr>
          <w:p w14:paraId="2AD84CD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  <w:t>卷面整洁、美观、无涂改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eastAsia="zh-CN"/>
              </w:rPr>
              <w:t>。</w:t>
            </w:r>
          </w:p>
        </w:tc>
        <w:tc>
          <w:tcPr>
            <w:tcW w:w="1005" w:type="dxa"/>
            <w:vMerge w:val="continue"/>
            <w:vAlign w:val="center"/>
          </w:tcPr>
          <w:p w14:paraId="2B042255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900" w:type="dxa"/>
            <w:vMerge w:val="continue"/>
            <w:vAlign w:val="center"/>
          </w:tcPr>
          <w:p w14:paraId="7AECF31F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885" w:type="dxa"/>
            <w:vMerge w:val="continue"/>
            <w:vAlign w:val="center"/>
          </w:tcPr>
          <w:p w14:paraId="5276122C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5F4463A3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highlight w:val="none"/>
              </w:rPr>
            </w:pPr>
          </w:p>
        </w:tc>
      </w:tr>
    </w:tbl>
    <w:p w14:paraId="459313C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28"/>
          <w:szCs w:val="28"/>
          <w:highlight w:val="none"/>
          <w:lang w:val="en-US" w:eastAsia="zh-CN"/>
        </w:rPr>
        <w:t>备注：本项目评委现场独立评分，取平均分为该项最终得分。</w:t>
      </w:r>
    </w:p>
    <w:p w14:paraId="657A395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2.专业基础知识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（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分）</w:t>
      </w:r>
    </w:p>
    <w:p w14:paraId="12BA77A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按照考生书面测试实际得分核算本项成绩。</w:t>
      </w:r>
    </w:p>
    <w:p w14:paraId="6FF1914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.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语言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表达（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分）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3018"/>
        <w:gridCol w:w="936"/>
        <w:gridCol w:w="1077"/>
        <w:gridCol w:w="936"/>
        <w:gridCol w:w="936"/>
      </w:tblGrid>
      <w:tr w14:paraId="25596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523" w:type="dxa"/>
            <w:vMerge w:val="restart"/>
            <w:vAlign w:val="center"/>
          </w:tcPr>
          <w:p w14:paraId="61BD54F8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  <w:t>评价项目</w:t>
            </w:r>
          </w:p>
        </w:tc>
        <w:tc>
          <w:tcPr>
            <w:tcW w:w="3018" w:type="dxa"/>
            <w:vMerge w:val="restart"/>
            <w:vAlign w:val="center"/>
          </w:tcPr>
          <w:p w14:paraId="7560C53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  <w:t>评价要点</w:t>
            </w:r>
          </w:p>
        </w:tc>
        <w:tc>
          <w:tcPr>
            <w:tcW w:w="3885" w:type="dxa"/>
            <w:gridSpan w:val="4"/>
            <w:vAlign w:val="center"/>
          </w:tcPr>
          <w:p w14:paraId="552BC111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  <w:t>评价等级</w:t>
            </w:r>
          </w:p>
        </w:tc>
      </w:tr>
      <w:tr w14:paraId="61B75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3" w:type="dxa"/>
            <w:vMerge w:val="continue"/>
            <w:vAlign w:val="center"/>
          </w:tcPr>
          <w:p w14:paraId="4F4E4D1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2" w:firstLineChars="20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3018" w:type="dxa"/>
            <w:vMerge w:val="continue"/>
            <w:vAlign w:val="center"/>
          </w:tcPr>
          <w:p w14:paraId="5266283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2" w:firstLineChars="20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36" w:type="dxa"/>
            <w:vAlign w:val="center"/>
          </w:tcPr>
          <w:p w14:paraId="7396DE88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  <w:t>优</w:t>
            </w:r>
          </w:p>
        </w:tc>
        <w:tc>
          <w:tcPr>
            <w:tcW w:w="1077" w:type="dxa"/>
            <w:vAlign w:val="center"/>
          </w:tcPr>
          <w:p w14:paraId="49F2C3A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  <w:t>良</w:t>
            </w:r>
          </w:p>
        </w:tc>
        <w:tc>
          <w:tcPr>
            <w:tcW w:w="936" w:type="dxa"/>
            <w:vAlign w:val="center"/>
          </w:tcPr>
          <w:p w14:paraId="6AC6F8A5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  <w:t>中</w:t>
            </w:r>
          </w:p>
        </w:tc>
        <w:tc>
          <w:tcPr>
            <w:tcW w:w="936" w:type="dxa"/>
            <w:vAlign w:val="center"/>
          </w:tcPr>
          <w:p w14:paraId="598B502B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/>
                <w:sz w:val="24"/>
                <w:szCs w:val="24"/>
                <w:highlight w:val="none"/>
              </w:rPr>
              <w:t>差</w:t>
            </w:r>
          </w:p>
        </w:tc>
      </w:tr>
      <w:tr w14:paraId="54EAE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523" w:type="dxa"/>
            <w:vAlign w:val="center"/>
          </w:tcPr>
          <w:p w14:paraId="3F9D1020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2"/>
                <w:szCs w:val="22"/>
                <w:highlight w:val="none"/>
                <w:lang w:val="en-US" w:eastAsia="zh-CN"/>
              </w:rPr>
              <w:t>内容表述</w:t>
            </w:r>
          </w:p>
        </w:tc>
        <w:tc>
          <w:tcPr>
            <w:tcW w:w="3018" w:type="dxa"/>
            <w:vAlign w:val="center"/>
          </w:tcPr>
          <w:p w14:paraId="54AE6657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2"/>
                <w:szCs w:val="22"/>
                <w:highlight w:val="none"/>
                <w:lang w:val="en-US" w:eastAsia="zh-CN"/>
              </w:rPr>
              <w:t>阐述内容充实、思路清晰。</w:t>
            </w:r>
          </w:p>
        </w:tc>
        <w:tc>
          <w:tcPr>
            <w:tcW w:w="936" w:type="dxa"/>
            <w:vMerge w:val="restart"/>
            <w:vAlign w:val="center"/>
          </w:tcPr>
          <w:p w14:paraId="22B6D46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  <w:t>0-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16</w:t>
            </w:r>
          </w:p>
        </w:tc>
        <w:tc>
          <w:tcPr>
            <w:tcW w:w="1077" w:type="dxa"/>
            <w:vMerge w:val="restart"/>
            <w:vAlign w:val="center"/>
          </w:tcPr>
          <w:p w14:paraId="6B19520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15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936" w:type="dxa"/>
            <w:vMerge w:val="restart"/>
            <w:vAlign w:val="center"/>
          </w:tcPr>
          <w:p w14:paraId="25F41DD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0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  <w:t>-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936" w:type="dxa"/>
            <w:vMerge w:val="restart"/>
            <w:vAlign w:val="center"/>
          </w:tcPr>
          <w:p w14:paraId="75C66827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-0</w:t>
            </w:r>
          </w:p>
        </w:tc>
      </w:tr>
      <w:tr w14:paraId="7043A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523" w:type="dxa"/>
            <w:vAlign w:val="center"/>
          </w:tcPr>
          <w:p w14:paraId="28AFF1E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表达能力</w:t>
            </w:r>
          </w:p>
        </w:tc>
        <w:tc>
          <w:tcPr>
            <w:tcW w:w="3018" w:type="dxa"/>
            <w:vAlign w:val="center"/>
          </w:tcPr>
          <w:p w14:paraId="6ABF15F5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普通话发音标准、口齿清晰、语言流畅、声音洪亮。</w:t>
            </w:r>
          </w:p>
        </w:tc>
        <w:tc>
          <w:tcPr>
            <w:tcW w:w="936" w:type="dxa"/>
            <w:vMerge w:val="continue"/>
            <w:vAlign w:val="center"/>
          </w:tcPr>
          <w:p w14:paraId="2FA73E1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077" w:type="dxa"/>
            <w:vMerge w:val="continue"/>
            <w:vAlign w:val="center"/>
          </w:tcPr>
          <w:p w14:paraId="1E170118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936" w:type="dxa"/>
            <w:vMerge w:val="continue"/>
            <w:vAlign w:val="center"/>
          </w:tcPr>
          <w:p w14:paraId="59FCC01D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936" w:type="dxa"/>
            <w:vMerge w:val="continue"/>
            <w:vAlign w:val="center"/>
          </w:tcPr>
          <w:p w14:paraId="6DFEA5F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highlight w:val="none"/>
              </w:rPr>
            </w:pPr>
          </w:p>
        </w:tc>
      </w:tr>
      <w:tr w14:paraId="6CD48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523" w:type="dxa"/>
            <w:vAlign w:val="center"/>
          </w:tcPr>
          <w:p w14:paraId="47EC1E0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仪态举止</w:t>
            </w:r>
          </w:p>
        </w:tc>
        <w:tc>
          <w:tcPr>
            <w:tcW w:w="3018" w:type="dxa"/>
            <w:vAlign w:val="center"/>
          </w:tcPr>
          <w:p w14:paraId="685338B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4"/>
                <w:szCs w:val="24"/>
                <w:highlight w:val="none"/>
                <w:lang w:val="en-US" w:eastAsia="zh-CN"/>
              </w:rPr>
              <w:t>仪表得体、举止大方。</w:t>
            </w:r>
          </w:p>
        </w:tc>
        <w:tc>
          <w:tcPr>
            <w:tcW w:w="936" w:type="dxa"/>
            <w:vMerge w:val="continue"/>
            <w:vAlign w:val="center"/>
          </w:tcPr>
          <w:p w14:paraId="58BEA8E8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1077" w:type="dxa"/>
            <w:vMerge w:val="continue"/>
            <w:vAlign w:val="center"/>
          </w:tcPr>
          <w:p w14:paraId="448FD3C6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936" w:type="dxa"/>
            <w:vMerge w:val="continue"/>
            <w:vAlign w:val="center"/>
          </w:tcPr>
          <w:p w14:paraId="6B10C73D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highlight w:val="none"/>
              </w:rPr>
            </w:pPr>
          </w:p>
        </w:tc>
        <w:tc>
          <w:tcPr>
            <w:tcW w:w="936" w:type="dxa"/>
            <w:vMerge w:val="continue"/>
            <w:vAlign w:val="center"/>
          </w:tcPr>
          <w:p w14:paraId="4200DAD7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  <w:highlight w:val="none"/>
              </w:rPr>
            </w:pPr>
          </w:p>
        </w:tc>
      </w:tr>
    </w:tbl>
    <w:p w14:paraId="0AACEE0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0000FF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000000"/>
          <w:sz w:val="28"/>
          <w:szCs w:val="28"/>
          <w:highlight w:val="none"/>
          <w:lang w:val="en-US" w:eastAsia="zh-CN"/>
        </w:rPr>
        <w:t>备注：本项目评委现场独立评分，取平均分为该项最终得分。</w:t>
      </w:r>
    </w:p>
    <w:p w14:paraId="6EDC2B9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  <w:lang w:eastAsia="zh-CN"/>
        </w:rPr>
      </w:pPr>
    </w:p>
    <w:p w14:paraId="6620E5A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  <w:lang w:eastAsia="zh-CN"/>
        </w:rPr>
        <w:t>四、</w:t>
      </w:r>
      <w:r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</w:rPr>
        <w:t>综合考核成绩核算规则</w:t>
      </w:r>
      <w:r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  <w:lang w:val="en-US" w:eastAsia="zh-CN"/>
        </w:rPr>
        <w:t xml:space="preserve"> </w:t>
      </w:r>
    </w:p>
    <w:p w14:paraId="2B3E9B5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考生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综合考核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成绩核算，严格执行“综合成绩 M = M₁（学业考核 60%）+ M₂（基础科目考核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 xml:space="preserve"> 20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%）+ M₃（面试考核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 xml:space="preserve"> 20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%）”的固定权重，综合考核满分100分，所有分值均四舍五入至小数点后两位。</w:t>
      </w:r>
    </w:p>
    <w:p w14:paraId="21C4AE5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其中：</w:t>
      </w:r>
    </w:p>
    <w:p w14:paraId="3C0290D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M₁（学业考核）=学生第一学年必修课程平均学分绩点/5.0×100×60%，以教务系统导出数据为准；统计时点为第一学年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第二学期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期末正考成绩公布后，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该学期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期末申请缓考的必修课程成绩绩点按0计入；</w:t>
      </w:r>
    </w:p>
    <w:p w14:paraId="5EFA22F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M₂（基础科目考核）=（学生全国大学外语四级考试成绩/710）×100×20%，以学生</w:t>
      </w:r>
      <w:r>
        <w:rPr>
          <w:rFonts w:hint="eastAsia" w:eastAsia="仿宋_GB2312" w:cs="Times New Roman"/>
          <w:color w:val="000000"/>
          <w:sz w:val="28"/>
          <w:szCs w:val="28"/>
          <w:highlight w:val="none"/>
          <w:lang w:val="en-US" w:eastAsia="zh-CN"/>
        </w:rPr>
        <w:t>综合成绩核算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时已取得的最高全国大学外语四级考试成绩为准，未取得四级考试成绩的，该项成绩按0分计入；</w:t>
      </w:r>
    </w:p>
    <w:p w14:paraId="1DB1541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M₃（面试考核）=面试成绩×20%。</w:t>
      </w:r>
    </w:p>
    <w:p w14:paraId="0283B5D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  <w:lang w:eastAsia="zh-CN"/>
        </w:rPr>
        <w:t>五、</w:t>
      </w:r>
      <w:r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</w:rPr>
        <w:t>拟录取名单确认规则</w:t>
      </w:r>
    </w:p>
    <w:p w14:paraId="22A29FE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严格遵循志愿优先、综合排名、择优录取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eastAsia="zh-CN"/>
        </w:rPr>
        <w:t>的原则，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第一志愿录取达到专业接收计划名额的，不再进行调剂志愿录取；若第一志愿录取未满，按照成绩从高到低，补录第二志愿。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对综合考核总成绩≥60分的学生，按接收专业从高分到低分排序，依据公布的接收计划依次录取，末位同分者全部录取。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拟录取建议名单经学院工作小组与纪检委员签字后，报送教务处复核。</w:t>
      </w:r>
    </w:p>
    <w:p w14:paraId="7DB3CCA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  <w:lang w:eastAsia="zh-CN"/>
        </w:rPr>
        <w:t>六、</w:t>
      </w:r>
      <w:r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</w:rPr>
        <w:t>转入学生学业衔接方案</w:t>
      </w:r>
    </w:p>
    <w:p w14:paraId="6107534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highlight w:val="none"/>
        </w:rPr>
        <w:t>（一）课程替代</w:t>
      </w:r>
    </w:p>
    <w:p w14:paraId="6DD1DB1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highlight w:val="none"/>
        </w:rPr>
        <w:t>通识教育类课程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：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原专业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已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修读的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与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小学教育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专业开设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一致的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课程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直接认定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相应学分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。</w:t>
      </w:r>
    </w:p>
    <w:p w14:paraId="0F38607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highlight w:val="none"/>
        </w:rPr>
        <w:t>学科专业教育类课程</w:t>
      </w:r>
      <w:r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000000"/>
          <w:kern w:val="2"/>
          <w:sz w:val="28"/>
          <w:szCs w:val="28"/>
          <w:highlight w:val="none"/>
        </w:rPr>
        <w:t>教师教育类课程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：原专业修读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课程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与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小学教育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专业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课程内容重合度≥70%，经学院审核后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eastAsia="zh-CN"/>
        </w:rPr>
        <w:t>可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替代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相应学分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。</w:t>
      </w:r>
    </w:p>
    <w:p w14:paraId="2A6631D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highlight w:val="none"/>
        </w:rPr>
        <w:t>（二）学分认定</w:t>
      </w:r>
    </w:p>
    <w:p w14:paraId="5291063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1.转入学生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第一学年已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修读的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与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小学教育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专业相同或相近的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课程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经审核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认定对应学分，不重复修读。</w:t>
      </w:r>
    </w:p>
    <w:p w14:paraId="0687F33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2.转入学生的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学分认定清单由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教务秘书汇总，教研室主任初审、学院教学委员会审定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。</w:t>
      </w:r>
    </w:p>
    <w:p w14:paraId="7DEB1E0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/>
          <w:sz w:val="28"/>
          <w:szCs w:val="28"/>
          <w:highlight w:val="yellow"/>
          <w:lang w:eastAsia="zh-CN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highlight w:val="none"/>
        </w:rPr>
        <w:t>（三）补修课程安排</w:t>
      </w:r>
    </w:p>
    <w:p w14:paraId="7D5992D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转入学生须补修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小学教育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专业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第一学年缺修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的相关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课程，随2026级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小学教育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专业相关班级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对应课程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进行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修读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并参加补修考试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。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学院为转入学生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制定个性化修读计划，明确补修课程、时间、考核方式。</w:t>
      </w:r>
    </w:p>
    <w:p w14:paraId="53AC061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highlight w:val="none"/>
        </w:rPr>
        <w:t>（四）学业帮扶措施</w:t>
      </w:r>
    </w:p>
    <w:p w14:paraId="610E9D9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1.学院召开转入学生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学业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衔接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指导会，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宣讲人才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培养方案、毕业要求、学位条件。</w:t>
      </w:r>
    </w:p>
    <w:p w14:paraId="2ED1394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安排专业教师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和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优秀学生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开展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一对一帮扶，指导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转专业学生的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课程学习与规划。</w:t>
      </w:r>
    </w:p>
    <w:p w14:paraId="2802117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3.持续关注转入学生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学业情况，对学习困难学生重点辅导，确保平稳过渡。</w:t>
      </w:r>
    </w:p>
    <w:p w14:paraId="7BB6B71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</w:rPr>
      </w:pPr>
      <w:r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  <w:lang w:eastAsia="zh-CN"/>
        </w:rPr>
        <w:t>七、</w:t>
      </w:r>
      <w:r>
        <w:rPr>
          <w:rFonts w:hint="eastAsia" w:ascii="黑体" w:hAnsi="黑体" w:eastAsia="黑体" w:cs="黑体"/>
          <w:b/>
          <w:bCs/>
          <w:color w:val="000000"/>
          <w:sz w:val="28"/>
          <w:szCs w:val="28"/>
          <w:highlight w:val="none"/>
        </w:rPr>
        <w:t>全程监督保障与申诉处理机制</w:t>
      </w:r>
    </w:p>
    <w:p w14:paraId="4871B0C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highlight w:val="none"/>
        </w:rPr>
        <w:t>（一）监督保障</w:t>
      </w:r>
    </w:p>
    <w:p w14:paraId="3C834F6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1.严格规范执行，落实主体责任。</w:t>
      </w:r>
      <w:r>
        <w:rPr>
          <w:rFonts w:hint="default" w:ascii="Times New Roman" w:hAnsi="Times New Roman" w:eastAsia="仿宋_GB2312" w:cs="Times New Roman"/>
          <w:b/>
          <w:bCs/>
          <w:color w:val="000000"/>
          <w:sz w:val="28"/>
          <w:szCs w:val="28"/>
          <w:highlight w:val="none"/>
          <w:lang w:val="en-US" w:eastAsia="zh-CN"/>
        </w:rPr>
        <w:t>学院院长为第一责任人，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对本学院转专业工作的合规性、公平性负责。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严禁任何单位、个人在资格审核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、考核评分、录取环节出现徇私舞弊、弄虚作假、放宽标准等行为，严禁以任何形式开展转专业相关的考前辅导、培训。</w:t>
      </w:r>
    </w:p>
    <w:p w14:paraId="08DF4B5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2.强化全程留痕，完善档案管理。学院转专业工作全程所有环节的材料，包括方案、申请材料、面试评分表、录音录像资料、成绩公示文件、录取名单等，全部以纸质+电子形式归档留存，做到全程可追溯、可核查，档案留存期限至学生毕业后3年。</w:t>
      </w:r>
    </w:p>
    <w:p w14:paraId="4780303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3.严格回避制度，保障公平公正。资格审核、面试考核等环节，相关工作人员与学生有亲属关系或利害关系的，须主动申请回避，未主动回避的，一经查实，依规依纪严肃处理。</w:t>
      </w:r>
    </w:p>
    <w:p w14:paraId="1D0110C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color w:val="000000"/>
          <w:sz w:val="28"/>
          <w:szCs w:val="28"/>
          <w:highlight w:val="none"/>
        </w:rPr>
      </w:pPr>
      <w:r>
        <w:rPr>
          <w:rFonts w:hint="eastAsia" w:ascii="楷体" w:hAnsi="楷体" w:eastAsia="楷体" w:cs="楷体"/>
          <w:color w:val="000000"/>
          <w:sz w:val="28"/>
          <w:szCs w:val="28"/>
          <w:highlight w:val="none"/>
        </w:rPr>
        <w:t>（二）申诉处理</w:t>
      </w:r>
    </w:p>
    <w:p w14:paraId="7040FCE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学生对资格审核结果、考核成绩、录取结果有异议的，可在对应公示期内向学院申诉，学院在3个工作日内反馈复核结果。学生对复核结果不满意的，可再次向教务处提起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书面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申诉。申诉期间不暂停整体工作推进，仅对涉事学生的相关资格做临时锁定。</w:t>
      </w:r>
    </w:p>
    <w:p w14:paraId="32F6318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</w:p>
    <w:p w14:paraId="12E86067">
      <w:pPr>
        <w:keepNext w:val="0"/>
        <w:keepLines w:val="0"/>
        <w:pageBreakBefore w:val="0"/>
        <w:shd w:val="clear" w:color="auto" w:fill="auto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初等教育学院</w:t>
      </w:r>
      <w:r>
        <w:rPr>
          <w:rFonts w:hint="eastAsia" w:ascii="Times New Roman" w:hAnsi="Times New Roman" w:eastAsia="仿宋_GB2312" w:cs="Times New Roman"/>
          <w:color w:val="0000FF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 xml:space="preserve"> </w:t>
      </w:r>
    </w:p>
    <w:p w14:paraId="1DF0DAA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2026年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月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000000"/>
          <w:sz w:val="28"/>
          <w:szCs w:val="28"/>
          <w:highlight w:val="none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AEC2CB6-8350-49B4-9230-BF3285AFCF5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42A65D9B-8874-4ED2-A65E-A702282D45A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59C58A53-6C96-43DF-BFAB-C94D8DEF22C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9F9CCEA3-C837-490E-A952-89BA01D0604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45A9FF8E-9331-44A1-A4BF-9D7C0A0D780D}"/>
  </w:font>
  <w:font w:name="WPSEMBED6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1FC2CA">
    <w:pPr>
      <w:pStyle w:val="4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5093EA3B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093EA3B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202713C"/>
    <w:rsid w:val="5CC01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qFormat/>
    <w:uiPriority w:val="0"/>
    <w:pPr>
      <w:widowControl w:val="0"/>
      <w:adjustRightInd w:val="0"/>
      <w:spacing w:before="100" w:after="10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d53758bb-616b-4d02-8153-659787daa929</errorID>
      <errorWord>原则</errorWord>
      <group>L1_Word</group>
      <groupName>字词问题</groupName>
      <ability>L2_Typo</ability>
      <abilityName>字词错误</abilityName>
      <candidateList>
        <item>的原则</item>
      </candidateList>
      <explain/>
      <paraID>765408E3</paraID>
      <start>147</start>
      <end>149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2fe91b-db06-4e28-a607-44f678c66e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2995</Words>
  <Characters>3148</Characters>
  <Paragraphs>144</Paragraphs>
  <TotalTime>19</TotalTime>
  <ScaleCrop>false</ScaleCrop>
  <LinksUpToDate>false</LinksUpToDate>
  <CharactersWithSpaces>3199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2026-05-06T10:42:00Z</dcterms:created>
  <dc:creator>清风徐来</dc:creator>
  <cp:lastModifiedBy>默默</cp:lastModifiedBy>
  <cp:lastPrinted>2026-05-19T08:27:00Z</cp:lastPrinted>
  <dcterms:modified xsi:type="dcterms:W3CDTF">2026-05-20T09:35:48Z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9b59898e149948abbb64261301f1f4bf_23</vt:lpwstr>
  </property>
  <property fmtid="{D5CDD505-2E9C-101B-9397-08002B2CF9AE}" pid="4" name="KSOTemplateDocerSaveRecord">
    <vt:lpwstr>eyJoZGlkIjoiOGRhMWQ5YTliNTM1MzZmYWRlMWZmZjQyMGEwMGFjNjIiLCJ1c2VySWQiOiIyOTI4MTk2OTUifQ==</vt:lpwstr>
  </property>
</Properties>
</file>