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12B72">
      <w:pPr>
        <w:shd w:val="clear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连云港师范学院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学前教育学院（音乐学院）</w:t>
      </w:r>
    </w:p>
    <w:p w14:paraId="79B0D52B">
      <w:pPr>
        <w:shd w:val="clear"/>
        <w:jc w:val="center"/>
        <w:rPr>
          <w:rFonts w:hint="eastAsi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2025级</w:t>
      </w:r>
      <w:r>
        <w:rPr>
          <w:rFonts w:hint="default" w:ascii="Times New Roman" w:hAnsi="Times New Roman" w:eastAsia="方正小标宋_GBK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普通全日制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本科生转专业工作实施细则</w:t>
      </w:r>
    </w:p>
    <w:p w14:paraId="765408E3"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为规范有序开展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学院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2025级普通全日制本科生转专业工作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依据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《连云港师范学院本科生转专业实施办法》（连师〔2025〕32号）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相关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要求，结合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学院本科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专业办学实际，制定本细则。本细则适用于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学前教育学院（音乐学院）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2025级全日制普通本科学生转出、外院学生转入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相关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工作，遵循志愿优先、择优录取、总量管控、规范透明原则。</w:t>
      </w:r>
    </w:p>
    <w:p w14:paraId="31848D1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、学院转专业工作小组</w:t>
      </w:r>
    </w:p>
    <w:p w14:paraId="5173904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（一）工作小组</w:t>
      </w: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构成</w:t>
      </w:r>
    </w:p>
    <w:p w14:paraId="1E8AFEF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组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长：</w:t>
      </w:r>
      <w:r>
        <w:rPr>
          <w:rFonts w:hint="eastAsia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嵇仙峰  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汪广华</w:t>
      </w:r>
    </w:p>
    <w:p w14:paraId="6EC7296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副组长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付</w:t>
      </w:r>
      <w:r>
        <w:rPr>
          <w:rFonts w:hint="eastAsia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  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艳</w:t>
      </w:r>
      <w:r>
        <w:rPr>
          <w:rFonts w:hint="eastAsia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  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尹</w:t>
      </w:r>
      <w:r>
        <w:rPr>
          <w:rFonts w:hint="eastAsia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  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菲</w:t>
      </w:r>
      <w:r>
        <w:rPr>
          <w:rFonts w:hint="eastAsia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  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王妍妍</w:t>
      </w:r>
      <w:r>
        <w:rPr>
          <w:rFonts w:hint="eastAsia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  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李</w:t>
      </w:r>
      <w:r>
        <w:rPr>
          <w:rFonts w:hint="eastAsia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  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享</w:t>
      </w:r>
    </w:p>
    <w:p w14:paraId="111C1AA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6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  员：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沈秋苹</w:t>
      </w:r>
      <w:r>
        <w:rPr>
          <w:rFonts w:hint="eastAsia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  李炳南  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杨</w:t>
      </w:r>
      <w:r>
        <w:rPr>
          <w:rFonts w:hint="eastAsia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  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瑞</w:t>
      </w:r>
      <w:r>
        <w:rPr>
          <w:rFonts w:hint="eastAsia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  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程丽静</w:t>
      </w:r>
    </w:p>
    <w:p w14:paraId="2677490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（二）职责分工</w:t>
      </w:r>
    </w:p>
    <w:p w14:paraId="4E96A6C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9" w:leftChars="114" w:firstLine="280" w:firstLineChars="100"/>
        <w:textAlignment w:val="auto"/>
        <w:rPr>
          <w:rFonts w:hint="default" w:ascii="Times New Roman" w:hAnsi="Times New Roman" w:eastAsia="仿宋_GB2312" w:cs="Times New Roman"/>
          <w:color w:val="0000FF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组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长：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对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学院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转专业工作负总责，审定接收计划、面试方案、拟录取名单，协调重大事项。</w:t>
      </w:r>
    </w:p>
    <w:p w14:paraId="6497362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FF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副组长：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统筹资格审核、成绩核算、学业衔接；负责政策宣讲、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信息核查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、学生沟通、纪律监督。</w:t>
      </w:r>
    </w:p>
    <w:p w14:paraId="1B8355E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  员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开展政策解读、指导学生填报、核实家长知情签字、初审学籍与处分记录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制定面试评分标准、参与面试考核、设计转入学生修读计划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汇总申请材料、核对绩点与排名、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梳理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公示材料、归档全程资料。</w:t>
      </w:r>
    </w:p>
    <w:p w14:paraId="653A0EF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（三）纪检监督安排</w:t>
      </w:r>
    </w:p>
    <w:p w14:paraId="3A99756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学院纪检委员全程参与转专业资格审核、面试、成绩核算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拟录取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公示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关键环节，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进行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现场监督，确保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工作流程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合规。</w:t>
      </w:r>
    </w:p>
    <w:p w14:paraId="1CDC375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2.设置学院转专业工作咨询电话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联系人：程</w:t>
      </w:r>
      <w:r>
        <w:rPr>
          <w:rFonts w:hint="eastAsia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老师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沈</w:t>
      </w:r>
      <w:r>
        <w:rPr>
          <w:rFonts w:hint="eastAsia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老师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电话号码：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0518-85817396、19851898330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20B0E10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、转出学生资格初审规则、流程、公示与异议处理</w:t>
      </w:r>
    </w:p>
    <w:p w14:paraId="2AE3B8C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（一）资格初审工作规则</w:t>
      </w:r>
    </w:p>
    <w:p w14:paraId="5A21D17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申请学生须完成第一学年所有必修课程的学习，两学期必修课程平均学分绩点在班级排名前 60%（含），在校期间无任何纪律处分记录，入学满一学期。</w:t>
      </w:r>
    </w:p>
    <w:p w14:paraId="4AB3F9B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2.申请转专业且初审合格的学生人数不超过班级总人数的25%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若班级初审合格申请人数超出该上限，则按学生两学期必修课程平均学分绩点由高到低排序，确定最终转出报名资格。</w:t>
      </w:r>
    </w:p>
    <w:p w14:paraId="407A809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3.处于休学、保留学籍期间的学生不得申请转专业，不得跨类申请体育类专业。</w:t>
      </w:r>
    </w:p>
    <w:p w14:paraId="49AF108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审核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流程</w:t>
      </w:r>
    </w:p>
    <w:p w14:paraId="6540619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1.2026年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7月初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，完成本院申请学生的资格初审。审核内容包括：学生学籍状态、纪律处分记录、必修课程平均学分绩点与班级排名、是否符合转出名额管控要求、申请材料真实性、是否存在禁转情形；审核过程中，严格以教务系统导出的2025级学生第一</w:t>
      </w:r>
      <w:r>
        <w:rPr>
          <w:rFonts w:hint="eastAsia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学年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必修课程平均学分绩点、班级排名数据为唯一依据。</w:t>
      </w:r>
    </w:p>
    <w:p w14:paraId="6AA6239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对申请人数超出班级总人数25%上限的班级，严格按两学期必修课程平均学分绩点由高到低排序，确定初审合格名单，超额人员不予通过初审。</w:t>
      </w:r>
    </w:p>
    <w:p w14:paraId="71ABAE0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（三）公示与异议处理</w:t>
      </w:r>
    </w:p>
    <w:p w14:paraId="2FD6A22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7月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上旬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在学院官网、公告栏公示初审合格名单，公示3个工作日，含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学生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姓名、学号、班级、绩点排名、初审结果。</w:t>
      </w:r>
    </w:p>
    <w:p w14:paraId="158D1C1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公示期内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如有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异议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以书面形式提交学院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转专业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工作小组，3个工作日内核查并书面反馈。无异议后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学院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将初审合格名单与材料报送教务处。</w:t>
      </w:r>
    </w:p>
    <w:p w14:paraId="6CA3053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</w:rPr>
        <w:t>、</w:t>
      </w:r>
      <w:r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  <w:lang w:val="en-US" w:eastAsia="zh-CN"/>
        </w:rPr>
        <w:t>转入</w:t>
      </w:r>
      <w:r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</w:rPr>
        <w:t>专业面试考核方案</w:t>
      </w:r>
    </w:p>
    <w:p w14:paraId="2A89FE9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>（一）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面试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>评委组成规则</w:t>
      </w:r>
    </w:p>
    <w:p w14:paraId="5361BB2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1.面试评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委不少于5人，由专业负责人、骨干教师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组成。</w:t>
      </w:r>
    </w:p>
    <w:p w14:paraId="01654F5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严格执行回避制度，与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考生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有亲属关系或利害关系的评委须主动回避。</w:t>
      </w:r>
    </w:p>
    <w:p w14:paraId="66BA709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考核内容</w:t>
      </w:r>
    </w:p>
    <w:p w14:paraId="4B18CFD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60" w:right="60" w:firstLine="645"/>
        <w:jc w:val="both"/>
        <w:textAlignment w:val="auto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1.专业认知</w:t>
      </w:r>
    </w:p>
    <w:p w14:paraId="63E0580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60" w:right="60" w:firstLine="645"/>
        <w:jc w:val="both"/>
        <w:textAlignment w:val="auto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考生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围绕“</w:t>
      </w:r>
      <w:r>
        <w:rPr>
          <w:rFonts w:hint="eastAsia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育儿友好”“健康第一”“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医育融合”和“托幼一体”等关键词，用</w:t>
      </w:r>
      <w:r>
        <w:rPr>
          <w:rFonts w:hint="eastAsia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2～3分钟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时间阐述对专业的认识。</w:t>
      </w:r>
    </w:p>
    <w:p w14:paraId="7FC612E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705" w:leftChars="0" w:right="60" w:rightChars="0"/>
        <w:jc w:val="both"/>
        <w:textAlignment w:val="auto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2.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舞蹈形体</w:t>
      </w:r>
    </w:p>
    <w:p w14:paraId="7222ED1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60" w:right="60" w:firstLine="645"/>
        <w:jc w:val="both"/>
        <w:textAlignment w:val="auto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考生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自选一支舞蹈作品进行现场</w:t>
      </w:r>
      <w:r>
        <w:rPr>
          <w:rFonts w:hint="default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展示，</w:t>
      </w:r>
      <w:r>
        <w:rPr>
          <w:rFonts w:hint="eastAsia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自备舞蹈音乐，建</w:t>
      </w:r>
      <w:r>
        <w:rPr>
          <w:rFonts w:hint="eastAsia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议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舞种以儿童舞、民族舞、古典舞为</w:t>
      </w:r>
      <w:r>
        <w:rPr>
          <w:rFonts w:hint="default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宜</w:t>
      </w:r>
      <w:r>
        <w:rPr>
          <w:rFonts w:hint="eastAsia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。要求考生现场展示时</w:t>
      </w:r>
      <w:r>
        <w:rPr>
          <w:rFonts w:hint="default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扎发、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额前无刘海、不佩戴饰品</w:t>
      </w:r>
      <w:r>
        <w:rPr>
          <w:rFonts w:hint="eastAsia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，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着紧身上衣、运动裤或舞蹈裤、运动鞋或舞蹈鞋</w:t>
      </w:r>
      <w:r>
        <w:rPr>
          <w:rFonts w:hint="eastAsia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，展示用时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不超过2分钟。</w:t>
      </w:r>
    </w:p>
    <w:p w14:paraId="7B9DF67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705" w:leftChars="0" w:right="60" w:rightChars="0"/>
        <w:jc w:val="both"/>
        <w:textAlignment w:val="auto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3.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儿童歌曲表演</w:t>
      </w:r>
    </w:p>
    <w:p w14:paraId="644964B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60" w:rightChars="0" w:firstLine="560" w:firstLineChars="200"/>
        <w:jc w:val="both"/>
        <w:textAlignment w:val="auto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考生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自选一首少儿歌曲</w:t>
      </w:r>
      <w:r>
        <w:rPr>
          <w:rFonts w:hint="default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清唱</w:t>
      </w:r>
      <w:r>
        <w:rPr>
          <w:rFonts w:hint="eastAsia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，调式自选</w:t>
      </w:r>
      <w:r>
        <w:rPr>
          <w:rFonts w:hint="default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，歌曲长度不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超过2分钟。</w:t>
      </w:r>
    </w:p>
    <w:p w14:paraId="5D858A4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60" w:right="60" w:firstLine="645"/>
        <w:jc w:val="both"/>
        <w:textAlignment w:val="auto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 w:bidi="ar"/>
        </w:rPr>
        <w:t>4.简笔画</w:t>
      </w:r>
    </w:p>
    <w:p w14:paraId="311AA96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60" w:rightChars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绘画</w:t>
      </w:r>
      <w:r>
        <w:rPr>
          <w:rFonts w:hint="default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内容为</w:t>
      </w:r>
      <w:r>
        <w:rPr>
          <w:rFonts w:hint="eastAsia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现场</w:t>
      </w:r>
      <w:r>
        <w:rPr>
          <w:rFonts w:hint="default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抽</w:t>
      </w:r>
      <w:r>
        <w:rPr>
          <w:rFonts w:hint="eastAsia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取</w:t>
      </w:r>
      <w:r>
        <w:rPr>
          <w:rFonts w:hint="default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到的</w:t>
      </w:r>
      <w:r>
        <w:rPr>
          <w:rFonts w:hint="eastAsia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一幅简笔画</w:t>
      </w:r>
      <w:r>
        <w:rPr>
          <w:rFonts w:hint="default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考场</w:t>
      </w:r>
      <w:r>
        <w:rPr>
          <w:rFonts w:hint="default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提供粗、细两种记号笔（油性）各1支，8开素描纸2张供</w:t>
      </w:r>
      <w:r>
        <w:rPr>
          <w:rFonts w:hint="eastAsia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考生</w:t>
      </w:r>
      <w:r>
        <w:rPr>
          <w:rFonts w:hint="default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使用。</w:t>
      </w:r>
      <w:r>
        <w:rPr>
          <w:rFonts w:hint="eastAsia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考生</w:t>
      </w:r>
      <w:r>
        <w:rPr>
          <w:rFonts w:hint="default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自备普通铅笔（非彩铅）、橡皮、黑色钢笔或中性笔。</w:t>
      </w:r>
      <w:r>
        <w:rPr>
          <w:rFonts w:hint="eastAsia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要求考生</w:t>
      </w:r>
      <w:r>
        <w:rPr>
          <w:rFonts w:hint="default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在10分钟时间内完成临摹。</w:t>
      </w:r>
    </w:p>
    <w:p w14:paraId="0F65251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b w:val="0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评</w:t>
      </w:r>
      <w:r>
        <w:rPr>
          <w:rFonts w:hint="eastAsia" w:ascii="楷体" w:hAnsi="楷体" w:eastAsia="楷体" w:cs="楷体"/>
          <w:b w:val="0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楷体" w:hAnsi="楷体" w:eastAsia="楷体" w:cs="楷体"/>
          <w:b w:val="0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标准</w:t>
      </w:r>
    </w:p>
    <w:tbl>
      <w:tblPr>
        <w:tblStyle w:val="5"/>
        <w:tblW w:w="548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8"/>
        <w:gridCol w:w="3653"/>
        <w:gridCol w:w="786"/>
        <w:gridCol w:w="786"/>
        <w:gridCol w:w="786"/>
        <w:gridCol w:w="786"/>
        <w:gridCol w:w="790"/>
      </w:tblGrid>
      <w:tr w14:paraId="77B89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44" w:type="pct"/>
            <w:vMerge w:val="restart"/>
            <w:noWrap w:val="0"/>
            <w:vAlign w:val="center"/>
          </w:tcPr>
          <w:p w14:paraId="053633F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评价项目</w:t>
            </w:r>
          </w:p>
        </w:tc>
        <w:tc>
          <w:tcPr>
            <w:tcW w:w="1952" w:type="pct"/>
            <w:vMerge w:val="restart"/>
            <w:noWrap w:val="0"/>
            <w:vAlign w:val="center"/>
          </w:tcPr>
          <w:p w14:paraId="7512D7F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评价要点</w:t>
            </w:r>
          </w:p>
        </w:tc>
        <w:tc>
          <w:tcPr>
            <w:tcW w:w="2102" w:type="pct"/>
            <w:gridSpan w:val="5"/>
            <w:noWrap w:val="0"/>
            <w:vAlign w:val="center"/>
          </w:tcPr>
          <w:p w14:paraId="6152C70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评价等级</w:t>
            </w:r>
          </w:p>
        </w:tc>
      </w:tr>
      <w:tr w14:paraId="3FBC7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944" w:type="pct"/>
            <w:vMerge w:val="continue"/>
            <w:noWrap w:val="0"/>
            <w:vAlign w:val="center"/>
          </w:tcPr>
          <w:p w14:paraId="72AD9CC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2" w:type="pct"/>
            <w:vMerge w:val="continue"/>
            <w:noWrap w:val="0"/>
            <w:vAlign w:val="center"/>
          </w:tcPr>
          <w:p w14:paraId="690140D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0" w:type="pct"/>
            <w:noWrap w:val="0"/>
            <w:vAlign w:val="center"/>
          </w:tcPr>
          <w:p w14:paraId="66C7A64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优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秀</w:t>
            </w:r>
          </w:p>
        </w:tc>
        <w:tc>
          <w:tcPr>
            <w:tcW w:w="420" w:type="pct"/>
            <w:noWrap w:val="0"/>
            <w:vAlign w:val="center"/>
          </w:tcPr>
          <w:p w14:paraId="782F07A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良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好</w:t>
            </w:r>
          </w:p>
        </w:tc>
        <w:tc>
          <w:tcPr>
            <w:tcW w:w="420" w:type="pct"/>
            <w:noWrap w:val="0"/>
            <w:vAlign w:val="center"/>
          </w:tcPr>
          <w:p w14:paraId="2B7007E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中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</w:t>
            </w:r>
          </w:p>
        </w:tc>
        <w:tc>
          <w:tcPr>
            <w:tcW w:w="420" w:type="pct"/>
            <w:noWrap w:val="0"/>
            <w:vAlign w:val="center"/>
          </w:tcPr>
          <w:p w14:paraId="6AC028F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较差</w:t>
            </w:r>
          </w:p>
        </w:tc>
        <w:tc>
          <w:tcPr>
            <w:tcW w:w="422" w:type="pct"/>
            <w:noWrap w:val="0"/>
            <w:vAlign w:val="center"/>
          </w:tcPr>
          <w:p w14:paraId="2EA2322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很差</w:t>
            </w:r>
          </w:p>
        </w:tc>
      </w:tr>
      <w:tr w14:paraId="104AF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</w:trPr>
        <w:tc>
          <w:tcPr>
            <w:tcW w:w="944" w:type="pct"/>
            <w:noWrap w:val="0"/>
            <w:vAlign w:val="center"/>
          </w:tcPr>
          <w:p w14:paraId="7AF1D6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Style w:val="7"/>
                <w:rFonts w:hint="default" w:ascii="Times New Roman" w:hAnsi="Times New Roman" w:eastAsia="方正仿宋_GB2312" w:cs="Times New Roman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default" w:ascii="Times New Roman" w:hAnsi="Times New Roman" w:eastAsia="方正仿宋_GB2312" w:cs="Times New Roman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专业认知</w:t>
            </w:r>
          </w:p>
          <w:p w14:paraId="199FB0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Style w:val="7"/>
                <w:rFonts w:hint="default" w:ascii="Times New Roman" w:hAnsi="Times New Roman" w:eastAsia="方正仿宋_GB2312" w:cs="Times New Roman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default" w:ascii="Times New Roman" w:hAnsi="Times New Roman" w:eastAsia="方正仿宋_GB2312" w:cs="Times New Roman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（25分）</w:t>
            </w:r>
          </w:p>
        </w:tc>
        <w:tc>
          <w:tcPr>
            <w:tcW w:w="1952" w:type="pct"/>
            <w:noWrap w:val="0"/>
            <w:vAlign w:val="center"/>
          </w:tcPr>
          <w:p w14:paraId="78FC41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hint="default" w:ascii="Times New Roman" w:hAnsi="Times New Roman" w:eastAsia="方正仿宋_GB2312" w:cs="Times New Roman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普通话标准，声音洪亮，吐字清楚，流畅自然；能围绕话题进行阐述，表达符合逻辑，价值观正确，观点新颖、具有创新性。</w:t>
            </w:r>
          </w:p>
        </w:tc>
        <w:tc>
          <w:tcPr>
            <w:tcW w:w="420" w:type="pct"/>
            <w:noWrap w:val="0"/>
            <w:vAlign w:val="center"/>
          </w:tcPr>
          <w:p w14:paraId="44E1991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-2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20" w:type="pct"/>
            <w:noWrap w:val="0"/>
            <w:vAlign w:val="center"/>
          </w:tcPr>
          <w:p w14:paraId="3EAF52E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-1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20" w:type="pct"/>
            <w:noWrap w:val="0"/>
            <w:vAlign w:val="center"/>
          </w:tcPr>
          <w:p w14:paraId="38246A2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15-12</w:t>
            </w:r>
          </w:p>
        </w:tc>
        <w:tc>
          <w:tcPr>
            <w:tcW w:w="420" w:type="pct"/>
            <w:noWrap w:val="0"/>
            <w:vAlign w:val="center"/>
          </w:tcPr>
          <w:p w14:paraId="2C31760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22" w:type="pct"/>
            <w:noWrap w:val="0"/>
            <w:vAlign w:val="center"/>
          </w:tcPr>
          <w:p w14:paraId="7DE5879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-0</w:t>
            </w:r>
          </w:p>
        </w:tc>
      </w:tr>
      <w:tr w14:paraId="6227C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8" w:hRule="atLeast"/>
        </w:trPr>
        <w:tc>
          <w:tcPr>
            <w:tcW w:w="944" w:type="pct"/>
            <w:noWrap w:val="0"/>
            <w:vAlign w:val="center"/>
          </w:tcPr>
          <w:p w14:paraId="009D40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Style w:val="7"/>
                <w:rFonts w:hint="default" w:ascii="Times New Roman" w:hAnsi="Times New Roman" w:eastAsia="方正仿宋_GB2312" w:cs="Times New Roman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default" w:ascii="Times New Roman" w:hAnsi="Times New Roman" w:eastAsia="方正仿宋_GB2312" w:cs="Times New Roman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舞蹈形体</w:t>
            </w:r>
          </w:p>
          <w:p w14:paraId="107C01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Style w:val="7"/>
                <w:rFonts w:hint="default" w:ascii="Times New Roman" w:hAnsi="Times New Roman" w:eastAsia="方正仿宋_GB2312" w:cs="Times New Roman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default" w:ascii="Times New Roman" w:hAnsi="Times New Roman" w:eastAsia="方正仿宋_GB2312" w:cs="Times New Roman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（25分）</w:t>
            </w:r>
          </w:p>
        </w:tc>
        <w:tc>
          <w:tcPr>
            <w:tcW w:w="1952" w:type="pct"/>
            <w:noWrap w:val="0"/>
            <w:vAlign w:val="center"/>
          </w:tcPr>
          <w:p w14:paraId="4B7BF9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hint="default" w:ascii="Times New Roman" w:hAnsi="Times New Roman" w:eastAsia="方正仿宋_GB2312" w:cs="Times New Roman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五官端正，无不适合幼儿教师资格认定要求的相关特征；身体健康，四肢健全，能正常完成舞蹈类课程任务学习；节奏准确，动作协调，情绪饱满，舞姿优美大方。</w:t>
            </w: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28781ED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-2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66969E8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-1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5AC92B1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15-12</w:t>
            </w: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3C1F84E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22" w:type="pct"/>
            <w:shd w:val="clear" w:color="auto" w:fill="auto"/>
            <w:noWrap w:val="0"/>
            <w:vAlign w:val="center"/>
          </w:tcPr>
          <w:p w14:paraId="0B15C86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-0</w:t>
            </w:r>
          </w:p>
        </w:tc>
      </w:tr>
      <w:tr w14:paraId="22353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944" w:type="pct"/>
            <w:noWrap w:val="0"/>
            <w:vAlign w:val="center"/>
          </w:tcPr>
          <w:p w14:paraId="54EEFB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Style w:val="7"/>
                <w:rFonts w:hint="default" w:ascii="Times New Roman" w:hAnsi="Times New Roman" w:eastAsia="方正仿宋_GB2312" w:cs="Times New Roman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default" w:ascii="Times New Roman" w:hAnsi="Times New Roman" w:eastAsia="方正仿宋_GB2312" w:cs="Times New Roman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儿童歌曲表演</w:t>
            </w:r>
          </w:p>
          <w:p w14:paraId="1549D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Style w:val="7"/>
                <w:rFonts w:hint="default" w:ascii="Times New Roman" w:hAnsi="Times New Roman" w:eastAsia="方正仿宋_GB2312" w:cs="Times New Roman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default" w:ascii="Times New Roman" w:hAnsi="Times New Roman" w:eastAsia="方正仿宋_GB2312" w:cs="Times New Roman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（25分）</w:t>
            </w:r>
          </w:p>
        </w:tc>
        <w:tc>
          <w:tcPr>
            <w:tcW w:w="1952" w:type="pct"/>
            <w:noWrap w:val="0"/>
            <w:vAlign w:val="center"/>
          </w:tcPr>
          <w:p w14:paraId="2AD84C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hint="default" w:ascii="Times New Roman" w:hAnsi="Times New Roman" w:eastAsia="方正仿宋_GB2312" w:cs="Times New Roman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音准、节奏正确，声音响亮，吐字清晰。</w:t>
            </w: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2B04225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-2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7AECF31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-1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5276122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15-12</w:t>
            </w: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5F4463A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22" w:type="pct"/>
            <w:shd w:val="clear" w:color="auto" w:fill="auto"/>
            <w:noWrap w:val="0"/>
            <w:vAlign w:val="center"/>
          </w:tcPr>
          <w:p w14:paraId="6EBB597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-0</w:t>
            </w:r>
          </w:p>
        </w:tc>
      </w:tr>
      <w:tr w14:paraId="51D3B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944" w:type="pct"/>
            <w:noWrap w:val="0"/>
            <w:vAlign w:val="center"/>
          </w:tcPr>
          <w:p w14:paraId="67CC44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Style w:val="9"/>
                <w:rFonts w:hint="default" w:ascii="Times New Roman" w:hAnsi="Times New Roman" w:eastAsia="方正仿宋_GB2312" w:cs="Times New Roman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hint="default" w:ascii="Times New Roman" w:hAnsi="Times New Roman" w:eastAsia="方正仿宋_GB2312" w:cs="Times New Roman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简笔画</w:t>
            </w:r>
          </w:p>
          <w:p w14:paraId="00F902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Style w:val="9"/>
                <w:rFonts w:hint="default" w:ascii="Times New Roman" w:hAnsi="Times New Roman" w:eastAsia="方正仿宋_GB2312" w:cs="Times New Roman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default" w:ascii="Times New Roman" w:hAnsi="Times New Roman" w:eastAsia="方正仿宋_GB2312" w:cs="Times New Roman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（25分）</w:t>
            </w:r>
          </w:p>
        </w:tc>
        <w:tc>
          <w:tcPr>
            <w:tcW w:w="1952" w:type="pct"/>
            <w:noWrap w:val="0"/>
            <w:vAlign w:val="center"/>
          </w:tcPr>
          <w:p w14:paraId="0F0E9D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hint="default" w:ascii="Times New Roman" w:hAnsi="Times New Roman" w:eastAsia="方正仿宋_GB2312" w:cs="Times New Roman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能画出相应图形，造型生动、形象，线条流畅、有力。</w:t>
            </w: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3DB6FF6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-2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2514161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-1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259AFF0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15-12</w:t>
            </w: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645449E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22" w:type="pct"/>
            <w:shd w:val="clear" w:color="auto" w:fill="auto"/>
            <w:noWrap w:val="0"/>
            <w:vAlign w:val="center"/>
          </w:tcPr>
          <w:p w14:paraId="54B88E4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-0</w:t>
            </w:r>
          </w:p>
        </w:tc>
      </w:tr>
      <w:tr w14:paraId="19EEC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944" w:type="pct"/>
            <w:noWrap w:val="0"/>
            <w:vAlign w:val="center"/>
          </w:tcPr>
          <w:p w14:paraId="246ABB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Style w:val="7"/>
                <w:rFonts w:hint="default" w:ascii="方正仿宋_GB2312" w:hAnsi="方正仿宋_GB2312" w:eastAsia="方正仿宋_GB2312" w:cs="方正仿宋_GB2312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方正仿宋_GB2312" w:hAnsi="方正仿宋_GB2312" w:eastAsia="方正仿宋_GB2312" w:cs="方正仿宋_GB2312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4055" w:type="pct"/>
            <w:gridSpan w:val="6"/>
            <w:noWrap w:val="0"/>
            <w:vAlign w:val="center"/>
          </w:tcPr>
          <w:p w14:paraId="5A74C60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59313C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备注：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所有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项目评委现场独立评分，取平均分为该项最终得分。</w:t>
      </w:r>
    </w:p>
    <w:p w14:paraId="5A1E16C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6620E5A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综合考核成绩核算规则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2B3E9B5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考生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综合考核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成绩核算，严格执行“综合成绩 M = M₁（学业考核 60%）+ M₂（基础科目考核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20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%）+ M₃（面试考核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20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%）”的固定权重，综合考核满分100分，所有分值均四舍五入至小数点后两位。</w:t>
      </w:r>
    </w:p>
    <w:p w14:paraId="21C4AE5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其中：</w:t>
      </w:r>
    </w:p>
    <w:p w14:paraId="3C0290D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M₁（学业考核）=学生第一学年必修课程平均学分绩点/5.0×100×60%，以教务系统导出数据为准；统计时点为第一学年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第二学期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期末正考成绩公布后，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该学期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期末申请缓考的必修课程成绩绩点按0计入；</w:t>
      </w:r>
    </w:p>
    <w:p w14:paraId="5EFA22F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M₂（基础科目考核）=（学生全国大学外语四级考试成绩/710）×100×20%，以学生</w:t>
      </w:r>
      <w:r>
        <w:rPr>
          <w:rFonts w:hint="eastAsia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综合成绩核算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时已取得的最高全国大学外语四级考试成绩为准，未取得四级考试成绩的，该项成绩按0分计入；</w:t>
      </w:r>
    </w:p>
    <w:p w14:paraId="1DB1541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M₃（面试考核）=面试成绩×20%。</w:t>
      </w:r>
    </w:p>
    <w:p w14:paraId="0283B5D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拟录取名单确认规则</w:t>
      </w:r>
    </w:p>
    <w:p w14:paraId="22A29FE6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严格遵循志愿优先、综合排名、择优录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取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的原则。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第一志愿录取达到专业接收计划名额的，不再进行调剂志愿录取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；若第一志愿录取未满，按照成绩从高到低，补录第二志愿。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对综合考核总成绩≥60分的学生，按接收专业从高分到低分排序，依据公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布的接收计划依次录取，末位同分者全部录取。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拟录取建议名单经学院工作小组与纪检委员签字后，报送教务处复核。</w:t>
      </w:r>
    </w:p>
    <w:p w14:paraId="7DB3CCA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  <w:lang w:eastAsia="zh-CN"/>
        </w:rPr>
        <w:t>六、</w:t>
      </w:r>
      <w:r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</w:rPr>
        <w:t>转入学生学业衔接方案</w:t>
      </w:r>
    </w:p>
    <w:p w14:paraId="6107534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>（一）课程替代</w:t>
      </w:r>
    </w:p>
    <w:p w14:paraId="6DD1DB1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</w:rPr>
        <w:t>通识教育类课程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原专业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已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修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读的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学前教育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专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业开设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一致的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课程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直接认定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相应学分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。</w:t>
      </w:r>
    </w:p>
    <w:p w14:paraId="0F386079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学科</w:t>
      </w:r>
      <w:r>
        <w:rPr>
          <w:rFonts w:hint="eastAsia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基础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类课程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教师教育类课程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：原专业修读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课程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学前教育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专业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课程内容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重合度≥70%，经学院审核后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可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替代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相应学分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。</w:t>
      </w:r>
    </w:p>
    <w:p w14:paraId="2A6631D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>（二）学分认定</w:t>
      </w:r>
    </w:p>
    <w:p w14:paraId="5291063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1.转入学生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第一学年已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修读的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与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学前教育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专业相同或相近的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课程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经审核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认定对应学分，不重复修读。</w:t>
      </w:r>
    </w:p>
    <w:p w14:paraId="0687F33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2.转入学生的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学分认定清单由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教务秘书汇总，教研室主任初审、学院教学委员会审定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。</w:t>
      </w:r>
    </w:p>
    <w:p w14:paraId="4CB1A3F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>（三）补修课程安排</w:t>
      </w:r>
    </w:p>
    <w:p w14:paraId="7D5992D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转入学生须补修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学前教育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专业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第一学年缺修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的相关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课程，随2026级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学前教育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专业相关班级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对应课程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进行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修读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并参加补修考试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学院为转入学生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制定个性化修读计划，明确补修课程、时间、考核方式。</w:t>
      </w:r>
    </w:p>
    <w:p w14:paraId="53AC061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>（四）学业帮扶措施</w:t>
      </w:r>
    </w:p>
    <w:p w14:paraId="610E9D9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1.学院召开转入学生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学业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衔接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指导会，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宣讲人才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培养方案、毕业要求、学位条件。</w:t>
      </w:r>
    </w:p>
    <w:p w14:paraId="2ED1394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安排专业教师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和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优秀学生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开展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一对一帮扶，指导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转专业学生的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课程学习与规划。</w:t>
      </w:r>
    </w:p>
    <w:p w14:paraId="2802117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3.持续关注转入学生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学业情况，对学习困难学生重点辅导，确保平稳过渡。</w:t>
      </w:r>
    </w:p>
    <w:p w14:paraId="7BB6B71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七、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全程监督保障与申诉处理机制</w:t>
      </w:r>
    </w:p>
    <w:p w14:paraId="4871B0C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（一）监督保障</w:t>
      </w:r>
    </w:p>
    <w:p w14:paraId="3C834F6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1.严格规范执行，落实主体责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任。学院院长为第一责任人，对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本学院转专业工作的合规性、公平性负责。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严禁任何单位、个人在资格审核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、考核评分、录取环节出现徇私舞弊、弄虚作假、放宽标准等行为，严禁以任何形式开展转专业相关的考前辅导、培训。</w:t>
      </w:r>
    </w:p>
    <w:p w14:paraId="08DF4B5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强化全程留痕，完善档案管理。学院转专业工作全程所有环节的材料，包括方案、申请材料、面试评分表、录音录像资料、成绩公示文件、录取名单等，全部以纸质+电子形式归档留存，做到全程可追溯、可核查，档案留存期限至学生毕业后3年。</w:t>
      </w:r>
    </w:p>
    <w:p w14:paraId="4780303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3.严格回避制度，保障公平公正。资格审核、面试考核等环节，相关工作人员与学生有亲属关系或利害关系的，须主动申请回避，未主动回避的，一经查实，依规依纪严肃处理。</w:t>
      </w:r>
    </w:p>
    <w:p w14:paraId="1D0110C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（二）申诉处理</w:t>
      </w:r>
    </w:p>
    <w:p w14:paraId="7040FCE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学生对资格审核结果、考核成绩、录取结果有异议的，可在对应公示期内向学院申诉，学院在3个工作日内反馈复核结果。学生对复核结果不满意的，可再次向教务处提起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书面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申诉。申诉期间不暂停整体工作推进，仅对涉事学生的相关资格做临时锁定。</w:t>
      </w:r>
    </w:p>
    <w:p w14:paraId="32F6318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12E86067">
      <w:pPr>
        <w:keepNext w:val="0"/>
        <w:keepLines w:val="0"/>
        <w:pageBreakBefore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学前教育学院（音乐学院）</w:t>
      </w:r>
    </w:p>
    <w:p w14:paraId="1DF0DAA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2026年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8D60FE4-B165-4F75-A8D0-AACEAD5229A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200AAEF4-870F-45E2-9E09-FB2A5596CAAC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7A86146E-0302-4BD9-8395-AC8F996A4E5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D8C772B8-BAB1-4EB0-B2FD-7680E069DFC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91BCD67F-E30F-404C-818E-F335F94183B8}"/>
  </w:font>
  <w:font w:name="WPSEMBED4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FC2C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93EA3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93EA3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D51138"/>
    <w:rsid w:val="0147153B"/>
    <w:rsid w:val="04910D1F"/>
    <w:rsid w:val="04E13A54"/>
    <w:rsid w:val="05571F68"/>
    <w:rsid w:val="07707311"/>
    <w:rsid w:val="0C3B6140"/>
    <w:rsid w:val="0D4252AC"/>
    <w:rsid w:val="0FFC1742"/>
    <w:rsid w:val="113F222E"/>
    <w:rsid w:val="13A16A15"/>
    <w:rsid w:val="13C71587"/>
    <w:rsid w:val="155A1BCA"/>
    <w:rsid w:val="16DB393A"/>
    <w:rsid w:val="17D80CE7"/>
    <w:rsid w:val="19502AFF"/>
    <w:rsid w:val="1BC525FB"/>
    <w:rsid w:val="1D5720E1"/>
    <w:rsid w:val="1E7F010E"/>
    <w:rsid w:val="1F884137"/>
    <w:rsid w:val="229D3C7C"/>
    <w:rsid w:val="24606709"/>
    <w:rsid w:val="260E1D77"/>
    <w:rsid w:val="26502DBE"/>
    <w:rsid w:val="26DD1E76"/>
    <w:rsid w:val="26F92A28"/>
    <w:rsid w:val="29C90D8B"/>
    <w:rsid w:val="2D8137C2"/>
    <w:rsid w:val="2E254102"/>
    <w:rsid w:val="311E37B6"/>
    <w:rsid w:val="348D2BD0"/>
    <w:rsid w:val="34A51AF9"/>
    <w:rsid w:val="359471CD"/>
    <w:rsid w:val="39163612"/>
    <w:rsid w:val="3B307AA4"/>
    <w:rsid w:val="3E6D2DA3"/>
    <w:rsid w:val="42D51138"/>
    <w:rsid w:val="439A1198"/>
    <w:rsid w:val="44E87F0C"/>
    <w:rsid w:val="47631ACB"/>
    <w:rsid w:val="47E726FC"/>
    <w:rsid w:val="49105C83"/>
    <w:rsid w:val="4B704F22"/>
    <w:rsid w:val="52120376"/>
    <w:rsid w:val="52F40EBF"/>
    <w:rsid w:val="54200197"/>
    <w:rsid w:val="552D3354"/>
    <w:rsid w:val="582F1556"/>
    <w:rsid w:val="592A40AB"/>
    <w:rsid w:val="5A054C64"/>
    <w:rsid w:val="5BEB146D"/>
    <w:rsid w:val="5CC20BEA"/>
    <w:rsid w:val="5DFD273A"/>
    <w:rsid w:val="5E27164D"/>
    <w:rsid w:val="62782810"/>
    <w:rsid w:val="63770981"/>
    <w:rsid w:val="65385EEE"/>
    <w:rsid w:val="678D7DAE"/>
    <w:rsid w:val="6A760630"/>
    <w:rsid w:val="6AC16985"/>
    <w:rsid w:val="6AF051B4"/>
    <w:rsid w:val="6D4270CF"/>
    <w:rsid w:val="6D853C9A"/>
    <w:rsid w:val="6DA75FF7"/>
    <w:rsid w:val="6E593B11"/>
    <w:rsid w:val="6ECF5965"/>
    <w:rsid w:val="6F38731D"/>
    <w:rsid w:val="704F058F"/>
    <w:rsid w:val="70700C31"/>
    <w:rsid w:val="70FA665B"/>
    <w:rsid w:val="71844269"/>
    <w:rsid w:val="72035AD5"/>
    <w:rsid w:val="72037883"/>
    <w:rsid w:val="79E47F9A"/>
    <w:rsid w:val="7CBB76D8"/>
    <w:rsid w:val="7CEE32AF"/>
    <w:rsid w:val="7CF25844"/>
    <w:rsid w:val="7D6A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font111"/>
    <w:basedOn w:val="6"/>
    <w:qFormat/>
    <w:uiPriority w:val="0"/>
    <w:rPr>
      <w:rFonts w:ascii="仿宋_GB2312" w:eastAsia="仿宋_GB2312" w:cs="仿宋_GB2312"/>
      <w:color w:val="000000"/>
      <w:sz w:val="20"/>
      <w:szCs w:val="20"/>
      <w:u w:val="none"/>
    </w:rPr>
  </w:style>
  <w:style w:type="character" w:customStyle="1" w:styleId="8">
    <w:name w:val="font7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9">
    <w:name w:val="font121"/>
    <w:basedOn w:val="6"/>
    <w:qFormat/>
    <w:uiPriority w:val="0"/>
    <w:rPr>
      <w:rFonts w:hint="default" w:ascii="仿宋_GB2312" w:eastAsia="仿宋_GB2312" w:cs="仿宋_GB2312"/>
      <w:color w:val="000000"/>
      <w:sz w:val="18"/>
      <w:szCs w:val="18"/>
      <w:u w:val="none"/>
    </w:rPr>
  </w:style>
  <w:style w:type="character" w:customStyle="1" w:styleId="10">
    <w:name w:val="font81"/>
    <w:basedOn w:val="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62c9ef0d-2ad0-4684-9c51-372a2a2f5c8e</errorID>
      <errorWord>”、“</errorWord>
      <group>L1_Punc</group>
      <groupName>标点问题</groupName>
      <ability>L2_Punc_CN</ability>
      <abilityName/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63E05800</paraID>
      <start>9</start>
      <end>11</end>
      <status>modified</status>
      <modifiedWord>”“</modifiedWord>
      <trackRevisions>false</trackRevisions>
    </reviewItem>
    <reviewItem>
      <errorID>525f515c-d8c4-4912-a406-610a4313cff9</errorID>
      <errorWord>”、“</errorWord>
      <group>L1_Punc</group>
      <groupName>标点问题</groupName>
      <ability>L2_Punc_CN</ability>
      <abilityName/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63E05800</paraID>
      <start>15</start>
      <end>17</end>
      <status>modified</status>
      <modifiedWord>”“</modifiedWord>
      <trackRevisions>false</trackRevisions>
    </reviewItem>
    <reviewItem>
      <errorID>0c33e034-0c2b-4eb4-b710-45ed4236615b</errorID>
      <errorWord>适合</errorWord>
      <group>L1_Grammar</group>
      <groupName>语法问题</groupName>
      <ability>L2_Grammar</ability>
      <abilityName>语法错误</abilityName>
      <candidateList>
        <item>符合</item>
      </candidateList>
      <explain>“适合～要求”搭配不当，建议修改为“符合～要求”。</explain>
      <paraID>4B7BF9EB</paraID>
      <start>7</start>
      <end>9</end>
      <status>ignored</status>
      <modifiedWord/>
      <trackRevisions>false</trackRevisions>
    </reviewItem>
    <reviewItem>
      <errorID>d55468ce-f94c-4acc-b742-c4b8e28eae41</errorID>
      <errorWord>到底</errorWord>
      <group>L1_Word</group>
      <groupName>字词问题</groupName>
      <ability>L2_Typo</ability>
      <abilityName>字词错误</abilityName>
      <candidateList>
        <item>到低</item>
      </candidateList>
      <explain/>
      <paraID>22A29FE6</paraID>
      <start>67</start>
      <end>69</end>
      <status>modified</status>
      <modifiedWord>到低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83cb83-a482-4d6d-aacd-9acb430ce1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3055</Words>
  <Characters>3252</Characters>
  <Lines>0</Lines>
  <Paragraphs>0</Paragraphs>
  <TotalTime>5</TotalTime>
  <ScaleCrop>false</ScaleCrop>
  <LinksUpToDate>false</LinksUpToDate>
  <CharactersWithSpaces>3293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2026-05-06T10:42:00Z</dcterms:created>
  <dc:creator>清风徐来</dc:creator>
  <cp:lastModifiedBy>默默</cp:lastModifiedBy>
  <cp:lastPrinted>2026-05-18T01:36:00Z</cp:lastPrinted>
  <dcterms:modified xsi:type="dcterms:W3CDTF">2026-05-20T09:50:55Z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8D96B8229FB644AA8079A5F8D34D5E2B_13</vt:lpwstr>
  </property>
  <property fmtid="{D5CDD505-2E9C-101B-9397-08002B2CF9AE}" pid="4" name="KSOTemplateDocerSaveRecord">
    <vt:lpwstr>eyJoZGlkIjoiOGRhMWQ5YTliNTM1MzZmYWRlMWZmZjQyMGEwMGFjNjIiLCJ1c2VySWQiOiIyOTI4MTk2OTUifQ==</vt:lpwstr>
  </property>
</Properties>
</file>