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12B72">
      <w:pPr>
        <w:shd w:val="clear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连云港师范学院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文学院</w:t>
      </w:r>
    </w:p>
    <w:p w14:paraId="79B0D52B">
      <w:pPr>
        <w:shd w:val="clear"/>
        <w:jc w:val="center"/>
        <w:rPr>
          <w:rFonts w:hint="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2025级</w:t>
      </w:r>
      <w:r>
        <w:rPr>
          <w:rFonts w:hint="default" w:ascii="Times New Roman" w:hAnsi="Times New Roman" w:eastAsia="方正小标宋_GBK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普通全日制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本科生转专业工作实施细则</w:t>
      </w:r>
    </w:p>
    <w:p w14:paraId="765408E3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为规范有序开展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2025级普通全日制本科生转专业工作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《连云港师范学院本科生转专业实施办法》（连师〔2025〕32号）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要求，结合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学院本科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专业办学实际，制定本细则。本细则适用于文学院2025级全日制普通本科学生转出、外院学生转入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工作，遵循志愿优先、择优录取、总量管控、规范透明原则。</w:t>
      </w:r>
    </w:p>
    <w:p w14:paraId="31848D1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、学院转专业工作小组</w:t>
      </w:r>
    </w:p>
    <w:p w14:paraId="5173904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（一）工作小组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构成</w:t>
      </w:r>
    </w:p>
    <w:p w14:paraId="1E8AFEF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长：冯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继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万连增</w:t>
      </w:r>
    </w:p>
    <w:p w14:paraId="6EC7296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副组长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杨  帆  徐  伟  </w:t>
      </w:r>
    </w:p>
    <w:p w14:paraId="111C1AA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成  员：王振军  于苏亚  孙嘉璐  梁思思  </w:t>
      </w:r>
    </w:p>
    <w:p w14:paraId="2677490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（二）职责分工</w:t>
      </w:r>
    </w:p>
    <w:p w14:paraId="4E96A6C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80" w:firstLineChars="1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长：对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转专业工作负总责，审定接收计划、面试方案、拟录取名单，协调重大事项。</w:t>
      </w:r>
    </w:p>
    <w:p w14:paraId="6497362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副组长：统筹资格审核、成绩核算、学业衔接；负责政策宣讲、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信息核查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、学生沟通、纪律监督。</w:t>
      </w:r>
    </w:p>
    <w:p w14:paraId="1B8355E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  员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：开展政策解读、指导学生填报、核实家长知情签字、初审学籍与处分记录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制定面试评分标准、参与面试考核、设计转入学生修读计划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汇总申请材料、核对绩点与排名、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梳理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公示材料、归档全程资料。</w:t>
      </w:r>
    </w:p>
    <w:p w14:paraId="653A0EF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（三）纪检监督安排</w:t>
      </w:r>
    </w:p>
    <w:p w14:paraId="3A99756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学院纪检委员全程参与转专业资格审核、面试、成绩核算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拟录取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公示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关键环节，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现场监督，确保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工作流程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合规。</w:t>
      </w:r>
    </w:p>
    <w:p w14:paraId="1CDC375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2.设置学院转专业工作咨询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电话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联系人：徐老师，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电话号码：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0518-81589629、15261310677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0B0E10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、转出学生资格初审规则、流程、公示与异议处理</w:t>
      </w:r>
    </w:p>
    <w:p w14:paraId="2AE3B8C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（一）资格初审工作规则</w:t>
      </w:r>
    </w:p>
    <w:p w14:paraId="5A21D17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申请学生须完成第一学年所有必修课程的学习，两学期必修课程平均学分绩点在班级排名前 60%（含），在校期间无任何纪律处分记录，入学满一学期。</w:t>
      </w:r>
    </w:p>
    <w:p w14:paraId="4AB3F9B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2.申请转专业且初审合格的学生人数不超过班级总人数的25%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若班级初审合格申请人数超出该上限，则按学生两学期必修课程平均学分绩点由高到低排序，确定最终转出报名资格。</w:t>
      </w:r>
    </w:p>
    <w:p w14:paraId="407A809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3.处于休学、保留学籍期间的学生不得申请转专业，不得跨类申请体育类专业。</w:t>
      </w:r>
    </w:p>
    <w:p w14:paraId="49AF108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流程</w:t>
      </w:r>
    </w:p>
    <w:p w14:paraId="6540619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1.2026年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7月初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完成本院申请学生的资格初审。审核内容包括：学生学籍状态、纪律处分记录、必修课程平均学分绩点与班级排名、是否符合转出名额管控要求、申请材料真实性、是否存在禁转情形；审核过程中，严格以教务系统导出的2025级学生第一</w:t>
      </w:r>
      <w:r>
        <w:rPr>
          <w:rFonts w:hint="eastAsia" w:ascii="Times New Roman" w:hAnsi="Times New Roman" w:eastAsia="方正仿宋_GB2312" w:cs="Times New Roman"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学年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必修课程平均学分绩点、班级排名数据为唯一依据。</w:t>
      </w:r>
    </w:p>
    <w:p w14:paraId="6AA6239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对申请人数超出班级总人数25%上限的班级，严格按两学期必修课程平均学分绩点由高到低排序，确定初审合格名单，超额人员不予通过初审。</w:t>
      </w:r>
    </w:p>
    <w:p w14:paraId="71ABAE0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（三）公示与异议处理</w:t>
      </w:r>
    </w:p>
    <w:p w14:paraId="2FD6A22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7月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上旬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在学院官网、公告栏公示初审合格名单，公示3个工作日，含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姓名、学号、班级、绩点排名、初审结果。</w:t>
      </w:r>
    </w:p>
    <w:p w14:paraId="158D1C1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公示期内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异议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以书面形式提交学院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工作小组，3个工作日内核查并书面反馈。无异议后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将初审合格名单与材料报送教务处。</w:t>
      </w:r>
    </w:p>
    <w:p w14:paraId="6CA3053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转入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专业面试考核方案</w:t>
      </w:r>
    </w:p>
    <w:p w14:paraId="2A89FE9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面试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评委组成规则</w:t>
      </w:r>
    </w:p>
    <w:p w14:paraId="5361BB2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1.面试评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委不少于5人，由专业负责人、骨干教师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组成。</w:t>
      </w:r>
    </w:p>
    <w:p w14:paraId="01654F5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严格执行回避制度，与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有亲属关系或利害关系的评委须主动回避。</w:t>
      </w:r>
    </w:p>
    <w:p w14:paraId="66BA709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考核内容</w:t>
      </w:r>
    </w:p>
    <w:p w14:paraId="1C8B161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硬笔书写</w:t>
      </w:r>
    </w:p>
    <w:p w14:paraId="1C0C268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运用硬笔书写规范汉字，限定字体为正楷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书写内容为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考场提供的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一首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言绝句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古诗，限时5分钟完成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。考场提供书写纸，书写用笔由考生自带，可用钢笔或中性笔。</w:t>
      </w:r>
    </w:p>
    <w:p w14:paraId="38F143C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2.专业基础知识</w:t>
      </w:r>
    </w:p>
    <w:p w14:paraId="7B90BB6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采用现场书面测试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形式，题型为客观题（40题，每题1分），涉及范围为汉语言文学基础常识，测试时长为30分钟。</w:t>
      </w:r>
    </w:p>
    <w:p w14:paraId="565ABF2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测试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复习参考书目：《大学语文（全编本·第六版）》，王步高、巩本栋主编，南京大学出版社，2021年1月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8C9784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3.语言表达</w:t>
      </w:r>
    </w:p>
    <w:p w14:paraId="3BCDB17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考生首先进行自我介绍并答问（3分钟以内），然后朗读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指定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面试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考场提供朗读材料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F65251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标准</w:t>
      </w:r>
    </w:p>
    <w:p w14:paraId="715ECD3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硬笔书写（30分）</w:t>
      </w:r>
    </w:p>
    <w:tbl>
      <w:tblPr>
        <w:tblStyle w:val="5"/>
        <w:tblW w:w="0" w:type="auto"/>
        <w:tblInd w:w="2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3136"/>
        <w:gridCol w:w="1005"/>
        <w:gridCol w:w="900"/>
        <w:gridCol w:w="885"/>
        <w:gridCol w:w="787"/>
      </w:tblGrid>
      <w:tr w14:paraId="689E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420" w:type="dxa"/>
            <w:vMerge w:val="restart"/>
            <w:noWrap w:val="0"/>
            <w:vAlign w:val="center"/>
          </w:tcPr>
          <w:p w14:paraId="053633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3136" w:type="dxa"/>
            <w:vMerge w:val="restart"/>
            <w:noWrap w:val="0"/>
            <w:vAlign w:val="center"/>
          </w:tcPr>
          <w:p w14:paraId="7512D7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3577" w:type="dxa"/>
            <w:gridSpan w:val="4"/>
            <w:noWrap w:val="0"/>
            <w:vAlign w:val="center"/>
          </w:tcPr>
          <w:p w14:paraId="5B3626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评价等级</w:t>
            </w:r>
          </w:p>
        </w:tc>
      </w:tr>
      <w:tr w14:paraId="7D2B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noWrap w:val="0"/>
            <w:vAlign w:val="center"/>
          </w:tcPr>
          <w:p w14:paraId="72AD9C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36" w:type="dxa"/>
            <w:vMerge w:val="continue"/>
            <w:noWrap w:val="0"/>
            <w:vAlign w:val="center"/>
          </w:tcPr>
          <w:p w14:paraId="690140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noWrap w:val="0"/>
            <w:vAlign w:val="center"/>
          </w:tcPr>
          <w:p w14:paraId="66C7A64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00" w:type="dxa"/>
            <w:noWrap w:val="0"/>
            <w:vAlign w:val="center"/>
          </w:tcPr>
          <w:p w14:paraId="782F07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885" w:type="dxa"/>
            <w:noWrap w:val="0"/>
            <w:vAlign w:val="center"/>
          </w:tcPr>
          <w:p w14:paraId="2B7007E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787" w:type="dxa"/>
            <w:noWrap w:val="0"/>
            <w:vAlign w:val="center"/>
          </w:tcPr>
          <w:p w14:paraId="6AC028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差</w:t>
            </w:r>
          </w:p>
        </w:tc>
      </w:tr>
      <w:tr w14:paraId="06247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0" w:type="dxa"/>
            <w:noWrap w:val="0"/>
            <w:vAlign w:val="center"/>
          </w:tcPr>
          <w:p w14:paraId="7AF1D6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书写规范</w:t>
            </w:r>
          </w:p>
        </w:tc>
        <w:tc>
          <w:tcPr>
            <w:tcW w:w="3136" w:type="dxa"/>
            <w:noWrap w:val="0"/>
            <w:vAlign w:val="center"/>
          </w:tcPr>
          <w:p w14:paraId="78FC417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笔画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书写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清楚到位，无错别字、繁体字和异体字等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 w14:paraId="44E199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30-2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3EAF52E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 w14:paraId="38246A2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87" w:type="dxa"/>
            <w:vMerge w:val="restart"/>
            <w:noWrap w:val="0"/>
            <w:vAlign w:val="center"/>
          </w:tcPr>
          <w:p w14:paraId="2C31760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10-0</w:t>
            </w:r>
          </w:p>
        </w:tc>
      </w:tr>
      <w:tr w14:paraId="12BA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20" w:type="dxa"/>
            <w:noWrap w:val="0"/>
            <w:vAlign w:val="center"/>
          </w:tcPr>
          <w:p w14:paraId="009D40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章法布局</w:t>
            </w:r>
          </w:p>
        </w:tc>
        <w:tc>
          <w:tcPr>
            <w:tcW w:w="3136" w:type="dxa"/>
            <w:noWrap w:val="0"/>
            <w:vAlign w:val="center"/>
          </w:tcPr>
          <w:p w14:paraId="4B7BF9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间架结构合理、笔画流畅，章法自然，整体感观舒适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28781E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6969E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5AC92B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7" w:type="dxa"/>
            <w:vMerge w:val="continue"/>
            <w:noWrap w:val="0"/>
            <w:vAlign w:val="center"/>
          </w:tcPr>
          <w:p w14:paraId="3C1F84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3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20" w:type="dxa"/>
            <w:noWrap w:val="0"/>
            <w:vAlign w:val="center"/>
          </w:tcPr>
          <w:p w14:paraId="54EEFB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整体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效果</w:t>
            </w:r>
          </w:p>
        </w:tc>
        <w:tc>
          <w:tcPr>
            <w:tcW w:w="3136" w:type="dxa"/>
            <w:noWrap w:val="0"/>
            <w:vAlign w:val="center"/>
          </w:tcPr>
          <w:p w14:paraId="2AD84C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卷面整洁、美观、无涂改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 w14:paraId="2B04225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7AECF3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527612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7" w:type="dxa"/>
            <w:vMerge w:val="continue"/>
            <w:noWrap w:val="0"/>
            <w:vAlign w:val="center"/>
          </w:tcPr>
          <w:p w14:paraId="5F4463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9313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备注：本项目评委现场独立评分，取平均分为该项最终得分。</w:t>
      </w:r>
    </w:p>
    <w:p w14:paraId="657A395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2.专业基础知识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分）</w:t>
      </w:r>
    </w:p>
    <w:p w14:paraId="12BA77A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按照考生书面测试实际得分核算本项成绩。</w:t>
      </w:r>
    </w:p>
    <w:p w14:paraId="6FF1914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语言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表达（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3018"/>
        <w:gridCol w:w="936"/>
        <w:gridCol w:w="1077"/>
        <w:gridCol w:w="936"/>
        <w:gridCol w:w="936"/>
      </w:tblGrid>
      <w:tr w14:paraId="2559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23" w:type="dxa"/>
            <w:vMerge w:val="restart"/>
            <w:noWrap w:val="0"/>
            <w:vAlign w:val="center"/>
          </w:tcPr>
          <w:p w14:paraId="61BD54F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3018" w:type="dxa"/>
            <w:vMerge w:val="restart"/>
            <w:noWrap w:val="0"/>
            <w:vAlign w:val="center"/>
          </w:tcPr>
          <w:p w14:paraId="7560C5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3885" w:type="dxa"/>
            <w:gridSpan w:val="4"/>
            <w:noWrap w:val="0"/>
            <w:vAlign w:val="center"/>
          </w:tcPr>
          <w:p w14:paraId="552BC1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评价等级</w:t>
            </w:r>
          </w:p>
        </w:tc>
      </w:tr>
      <w:tr w14:paraId="61B7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vMerge w:val="continue"/>
            <w:noWrap w:val="0"/>
            <w:vAlign w:val="center"/>
          </w:tcPr>
          <w:p w14:paraId="4F4E4D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8" w:type="dxa"/>
            <w:vMerge w:val="continue"/>
            <w:noWrap w:val="0"/>
            <w:vAlign w:val="center"/>
          </w:tcPr>
          <w:p w14:paraId="5266283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noWrap w:val="0"/>
            <w:vAlign w:val="center"/>
          </w:tcPr>
          <w:p w14:paraId="7396DE8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1077" w:type="dxa"/>
            <w:noWrap w:val="0"/>
            <w:vAlign w:val="center"/>
          </w:tcPr>
          <w:p w14:paraId="49F2C3A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36" w:type="dxa"/>
            <w:noWrap w:val="0"/>
            <w:vAlign w:val="center"/>
          </w:tcPr>
          <w:p w14:paraId="6AC6F8A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936" w:type="dxa"/>
            <w:noWrap w:val="0"/>
            <w:vAlign w:val="center"/>
          </w:tcPr>
          <w:p w14:paraId="598B50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差</w:t>
            </w:r>
          </w:p>
        </w:tc>
      </w:tr>
      <w:tr w14:paraId="54EAE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3" w:type="dxa"/>
            <w:noWrap w:val="0"/>
            <w:vAlign w:val="center"/>
          </w:tcPr>
          <w:p w14:paraId="3F9D102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内容表述</w:t>
            </w:r>
          </w:p>
        </w:tc>
        <w:tc>
          <w:tcPr>
            <w:tcW w:w="3018" w:type="dxa"/>
            <w:noWrap w:val="0"/>
            <w:vAlign w:val="center"/>
          </w:tcPr>
          <w:p w14:paraId="54AE665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阐述内容充实、思路清晰。</w:t>
            </w:r>
          </w:p>
        </w:tc>
        <w:tc>
          <w:tcPr>
            <w:tcW w:w="936" w:type="dxa"/>
            <w:vMerge w:val="restart"/>
            <w:noWrap w:val="0"/>
            <w:vAlign w:val="center"/>
          </w:tcPr>
          <w:p w14:paraId="22B6D46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30-2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77" w:type="dxa"/>
            <w:vMerge w:val="restart"/>
            <w:noWrap w:val="0"/>
            <w:vAlign w:val="center"/>
          </w:tcPr>
          <w:p w14:paraId="6B1952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6" w:type="dxa"/>
            <w:vMerge w:val="restart"/>
            <w:noWrap w:val="0"/>
            <w:vAlign w:val="center"/>
          </w:tcPr>
          <w:p w14:paraId="25F41D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6" w:type="dxa"/>
            <w:vMerge w:val="restart"/>
            <w:noWrap w:val="0"/>
            <w:vAlign w:val="center"/>
          </w:tcPr>
          <w:p w14:paraId="75C6682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10-0</w:t>
            </w:r>
          </w:p>
        </w:tc>
      </w:tr>
      <w:tr w14:paraId="7043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523" w:type="dxa"/>
            <w:noWrap w:val="0"/>
            <w:vAlign w:val="center"/>
          </w:tcPr>
          <w:p w14:paraId="28AFF1E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表达能力</w:t>
            </w:r>
          </w:p>
        </w:tc>
        <w:tc>
          <w:tcPr>
            <w:tcW w:w="3018" w:type="dxa"/>
            <w:noWrap w:val="0"/>
            <w:vAlign w:val="center"/>
          </w:tcPr>
          <w:p w14:paraId="6ABF15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普通话发音标准、口齿清晰、语言流畅、声音洪亮。</w:t>
            </w:r>
          </w:p>
        </w:tc>
        <w:tc>
          <w:tcPr>
            <w:tcW w:w="936" w:type="dxa"/>
            <w:vMerge w:val="continue"/>
            <w:noWrap w:val="0"/>
            <w:vAlign w:val="center"/>
          </w:tcPr>
          <w:p w14:paraId="2FA73E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vMerge w:val="continue"/>
            <w:noWrap w:val="0"/>
            <w:vAlign w:val="center"/>
          </w:tcPr>
          <w:p w14:paraId="1E17011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noWrap w:val="0"/>
            <w:vAlign w:val="center"/>
          </w:tcPr>
          <w:p w14:paraId="59FCC01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noWrap w:val="0"/>
            <w:vAlign w:val="center"/>
          </w:tcPr>
          <w:p w14:paraId="6DFEA5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4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523" w:type="dxa"/>
            <w:noWrap w:val="0"/>
            <w:vAlign w:val="center"/>
          </w:tcPr>
          <w:p w14:paraId="47EC1E0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仪态举止</w:t>
            </w:r>
          </w:p>
        </w:tc>
        <w:tc>
          <w:tcPr>
            <w:tcW w:w="3018" w:type="dxa"/>
            <w:noWrap w:val="0"/>
            <w:vAlign w:val="center"/>
          </w:tcPr>
          <w:p w14:paraId="685338B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仪表得体、举止大方。</w:t>
            </w:r>
          </w:p>
        </w:tc>
        <w:tc>
          <w:tcPr>
            <w:tcW w:w="936" w:type="dxa"/>
            <w:vMerge w:val="continue"/>
            <w:noWrap w:val="0"/>
            <w:vAlign w:val="center"/>
          </w:tcPr>
          <w:p w14:paraId="58BEA8E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vMerge w:val="continue"/>
            <w:noWrap w:val="0"/>
            <w:vAlign w:val="center"/>
          </w:tcPr>
          <w:p w14:paraId="448FD3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noWrap w:val="0"/>
            <w:vAlign w:val="center"/>
          </w:tcPr>
          <w:p w14:paraId="6B10C7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noWrap w:val="0"/>
            <w:vAlign w:val="center"/>
          </w:tcPr>
          <w:p w14:paraId="4200DAD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ACEE0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备注：本项目评委现场独立评分，取平均分为该项最终得分。</w:t>
      </w:r>
    </w:p>
    <w:p w14:paraId="6620E5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综合考核成绩核算规则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B3E9B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综合考核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成绩核算，严格执行“综合成绩 M = M₁（学业考核 60%）+ M₂（基础科目考核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%）+ M₃（面试考核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%）”的固定权重，综合考核满分100分，所有分值均四舍五入至小数点后两位。</w:t>
      </w:r>
    </w:p>
    <w:p w14:paraId="21C4AE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其中：</w:t>
      </w:r>
    </w:p>
    <w:p w14:paraId="3C0290D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M₁（学业考核）=学生第一学年必修课程平均学分绩点/5.0×100×60%，以教务系统导出数据为准；统计时点为第一学年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第二学期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期末正考成绩公布后，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该学期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期末申请缓考的必修课程成绩绩点按0计入；</w:t>
      </w:r>
    </w:p>
    <w:p w14:paraId="5EFA22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M₂（基础科目考核）=（学生全国大学外语四级考试成绩/710）×100×20%，以学生</w:t>
      </w:r>
      <w:r>
        <w:rPr>
          <w:rFonts w:hint="eastAsia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综合成绩核算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时已取得的最高全国大学外语四级考试成绩为准，未取得四级考试成绩的，该项成绩按0分计入；</w:t>
      </w:r>
    </w:p>
    <w:p w14:paraId="1DB1541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M₃（面试考核）=面试成绩×20%。</w:t>
      </w:r>
    </w:p>
    <w:p w14:paraId="0283B5D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拟录取名单确认规则</w:t>
      </w:r>
    </w:p>
    <w:p w14:paraId="22A29FE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严格遵循志愿优先、综合排名、择优录取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原则，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只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录取第一志愿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对综合考核总成绩≥60分的学生，按接收专业从高分到低分排序，依据公布的接收计划依次录取，末位同分者全部录取。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拟录取建议名单经学院工作小组与纪检委员签字后，报送教务处复核。</w:t>
      </w:r>
    </w:p>
    <w:p w14:paraId="7DB3CCA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转入学生学业衔接方案</w:t>
      </w:r>
    </w:p>
    <w:p w14:paraId="6107534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（一）课程替代</w:t>
      </w:r>
    </w:p>
    <w:p w14:paraId="6DD1DB1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通识教育类课程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原专业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已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修读的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汉语言文学专业开设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一致的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直接认定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相应学分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F38607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学科专业教育类课程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教师教育类课程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：原专业修读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汉语言文学专业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课程内容重合度≥70%，经学院审核后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可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替代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相应学分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2A6631D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（二）学分认定</w:t>
      </w:r>
    </w:p>
    <w:p w14:paraId="5291063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1.转入学生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第一学年已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修读的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汉语言文学专业相同或相近的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经审核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认定对应学分，不重复修读。</w:t>
      </w:r>
    </w:p>
    <w:p w14:paraId="0687F33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2.转入学生的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学分认定清单由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教务秘书汇总，教研室主任初审、学院教学委员会审定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7DEB1E0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（三）补修课程安排</w:t>
      </w:r>
    </w:p>
    <w:p w14:paraId="7D5992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转入学生须补修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汉语言文学专业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第一学年缺修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的相关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随2026级汉语言文学专业相关班级对应课程进行修读，并参加补修考试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学院为转入学生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制定个性化修读计划，明确补修课程、时间、考核方式。</w:t>
      </w:r>
    </w:p>
    <w:p w14:paraId="53AC061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（四）学业帮扶措施</w:t>
      </w:r>
    </w:p>
    <w:p w14:paraId="610E9D9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1.学院召开转入学生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衔接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指导会，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宣讲人才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培养方案、毕业要求、学位条件。</w:t>
      </w:r>
    </w:p>
    <w:p w14:paraId="2ED1394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安排专业教师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优秀学生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一对一帮扶，指导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转专业学生的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课程学习与规划。</w:t>
      </w:r>
    </w:p>
    <w:p w14:paraId="2802117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3.持续关注转入学生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学业情况，对学习困难学生重点辅导，确保平稳过渡。</w:t>
      </w:r>
    </w:p>
    <w:p w14:paraId="7BB6B71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全程监督保障与申诉处理机制</w:t>
      </w:r>
    </w:p>
    <w:p w14:paraId="4871B0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（一）监督保障</w:t>
      </w:r>
    </w:p>
    <w:p w14:paraId="3C834F6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1.严格规范执行，落实主体责任。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学院院长为第一责任人，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对本学院转专业工作的合规性、公平性负责。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严禁任何单位、个人在资格审核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、考核评分、录取环节出现徇私舞弊、弄虚作假、放宽标准等行为，严禁以任何形式开展转专业相关的考前辅导、培训。</w:t>
      </w:r>
    </w:p>
    <w:p w14:paraId="08DF4B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强化全程留痕，完善档案管理。学院转专业工作全程所有环节的材料，包括方案、申请材料、面试评分表、录音录像资料、成绩公示文件、录取名单等，全部以纸质+电子形式归档留存，做到全程可追溯、可核查，档案留存期限至学生毕业后3年。</w:t>
      </w:r>
    </w:p>
    <w:p w14:paraId="4780303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3.严格回避制度，保障公平公正。资格审核、面试考核等环节，相关工作人员与学生有亲属关系或利害关系的，须主动申请回避，未主动回避的，一经查实，依规依纪严肃处理。</w:t>
      </w:r>
    </w:p>
    <w:p w14:paraId="1D0110C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（二）申诉处理</w:t>
      </w:r>
    </w:p>
    <w:p w14:paraId="7040FCE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学生对资格审核结果、考核成绩、录取结果有异议的，可在对应公示期内向学院申诉，学院在3个工作日内反馈复核结果。学生对复核结果不满意的，可再次向教务处提起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书面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申诉。申诉期间不暂停整体工作推进，仅对涉事学生的相关资格做临时锁定。</w:t>
      </w:r>
    </w:p>
    <w:p w14:paraId="32F6318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2E86067">
      <w:pPr>
        <w:keepNext w:val="0"/>
        <w:keepLines w:val="0"/>
        <w:pageBreakBefore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 w14:paraId="1DF0DA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2026年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13EE4A-CFCB-4274-A4B5-873D82D7E9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114B839-90CE-4132-942D-A24C58FB99B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EC5E8F8-6D36-4372-BBF7-16402589C10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1EF47C1-AFCC-4EF1-BD72-A54E6A3CB22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E14AC967-E792-492C-9C5A-7CD86CB56AE2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FC2C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93EA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93EA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51138"/>
    <w:rsid w:val="0147153B"/>
    <w:rsid w:val="04910D1F"/>
    <w:rsid w:val="04E13A54"/>
    <w:rsid w:val="05571F68"/>
    <w:rsid w:val="0C3B6140"/>
    <w:rsid w:val="0D4252AC"/>
    <w:rsid w:val="0FFC1742"/>
    <w:rsid w:val="113F222E"/>
    <w:rsid w:val="115A22B9"/>
    <w:rsid w:val="13A16A15"/>
    <w:rsid w:val="13C71587"/>
    <w:rsid w:val="16DB393A"/>
    <w:rsid w:val="175134B4"/>
    <w:rsid w:val="17D80CE7"/>
    <w:rsid w:val="1BC525FB"/>
    <w:rsid w:val="1D5720E1"/>
    <w:rsid w:val="1E7F010E"/>
    <w:rsid w:val="1F884137"/>
    <w:rsid w:val="229D3C7C"/>
    <w:rsid w:val="24606709"/>
    <w:rsid w:val="260E1D77"/>
    <w:rsid w:val="26502DBE"/>
    <w:rsid w:val="26DD1E76"/>
    <w:rsid w:val="26F92A28"/>
    <w:rsid w:val="294E1CD7"/>
    <w:rsid w:val="29C90D8B"/>
    <w:rsid w:val="2D8137C2"/>
    <w:rsid w:val="2E254102"/>
    <w:rsid w:val="311E37B6"/>
    <w:rsid w:val="34A51AF9"/>
    <w:rsid w:val="359471CD"/>
    <w:rsid w:val="3E6D2DA3"/>
    <w:rsid w:val="42D51138"/>
    <w:rsid w:val="44E87F0C"/>
    <w:rsid w:val="47631ACB"/>
    <w:rsid w:val="47E726FC"/>
    <w:rsid w:val="497B7688"/>
    <w:rsid w:val="4B704F22"/>
    <w:rsid w:val="52120376"/>
    <w:rsid w:val="52F40EBF"/>
    <w:rsid w:val="54200197"/>
    <w:rsid w:val="582F1556"/>
    <w:rsid w:val="592A40AB"/>
    <w:rsid w:val="59A2570C"/>
    <w:rsid w:val="5CC20BEA"/>
    <w:rsid w:val="5DFD273A"/>
    <w:rsid w:val="62782810"/>
    <w:rsid w:val="63770981"/>
    <w:rsid w:val="65385EEE"/>
    <w:rsid w:val="678D7DAE"/>
    <w:rsid w:val="6A760630"/>
    <w:rsid w:val="6AC16985"/>
    <w:rsid w:val="6AF051B4"/>
    <w:rsid w:val="6D853C9A"/>
    <w:rsid w:val="6E593B11"/>
    <w:rsid w:val="6ECF5965"/>
    <w:rsid w:val="6F38731D"/>
    <w:rsid w:val="704F058F"/>
    <w:rsid w:val="70FA665B"/>
    <w:rsid w:val="71844269"/>
    <w:rsid w:val="72035AD5"/>
    <w:rsid w:val="72037883"/>
    <w:rsid w:val="79E47F9A"/>
    <w:rsid w:val="7CBB76D8"/>
    <w:rsid w:val="7CEE32AF"/>
    <w:rsid w:val="7CF25844"/>
    <w:rsid w:val="7D6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ca895447-0cbf-4411-8730-9c7735d4f4f6</errorID>
      <errorWord>一致</errorWord>
      <group>L1_Grammar</group>
      <groupName>语法问题</groupName>
      <ability>L2_Grammar</ability>
      <abilityName>语法错误</abilityName>
      <candidateList>
        <item>课程一致</item>
      </candidateList>
      <explain/>
      <paraID>6DD1DB1C</paraID>
      <start>27</start>
      <end>29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7ffa3-d4cf-4699-93ec-b78a4175e8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2906</Words>
  <Characters>3069</Characters>
  <Lines>0</Lines>
  <Paragraphs>0</Paragraphs>
  <TotalTime>35</TotalTime>
  <ScaleCrop>false</ScaleCrop>
  <LinksUpToDate>false</LinksUpToDate>
  <CharactersWithSpaces>3114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2026-05-06T10:42:00Z</dcterms:created>
  <dc:creator>清风徐来</dc:creator>
  <cp:lastModifiedBy>默默</cp:lastModifiedBy>
  <cp:lastPrinted>2026-05-18T01:36:00Z</cp:lastPrinted>
  <dcterms:modified xsi:type="dcterms:W3CDTF">2026-05-20T09:35:43Z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BCFE027C7DCE4A1B8236190F192329BE_11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