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FC92A">
      <w:pPr>
        <w:jc w:val="center"/>
        <w:rPr>
          <w:rFonts w:ascii="Times New Roman" w:hAnsi="Times New Roman" w:eastAsia="方正小标宋_GBK" w:cs="Times New Roman"/>
          <w:color w:val="auto"/>
          <w:sz w:val="32"/>
          <w:szCs w:val="32"/>
        </w:rPr>
      </w:pPr>
      <w:r>
        <w:rPr>
          <w:rFonts w:ascii="Times New Roman" w:hAnsi="Times New Roman" w:eastAsia="方正小标宋_GBK" w:cs="Times New Roman"/>
          <w:color w:val="auto"/>
          <w:sz w:val="32"/>
          <w:szCs w:val="32"/>
        </w:rPr>
        <w:t>连云港师范学院</w:t>
      </w:r>
      <w:r>
        <w:rPr>
          <w:rFonts w:hint="eastAsia" w:ascii="Times New Roman" w:hAnsi="Times New Roman" w:eastAsia="方正小标宋_GBK" w:cs="Times New Roman"/>
          <w:color w:val="auto"/>
          <w:sz w:val="32"/>
          <w:szCs w:val="32"/>
        </w:rPr>
        <w:t xml:space="preserve"> </w:t>
      </w:r>
      <w:r>
        <w:rPr>
          <w:rFonts w:hint="eastAsia" w:ascii="Times New Roman" w:hAnsi="Times New Roman" w:eastAsia="方正小标宋_GBK" w:cs="Times New Roman"/>
          <w:color w:val="auto"/>
          <w:sz w:val="32"/>
          <w:szCs w:val="32"/>
        </w:rPr>
        <w:t>数学与信息工程学院</w:t>
      </w:r>
    </w:p>
    <w:p w14:paraId="21954107">
      <w:pPr>
        <w:jc w:val="center"/>
        <w:rPr>
          <w:color w:val="auto"/>
          <w:sz w:val="32"/>
          <w:szCs w:val="32"/>
        </w:rPr>
      </w:pPr>
      <w:r>
        <w:rPr>
          <w:rFonts w:ascii="Times New Roman" w:hAnsi="Times New Roman" w:eastAsia="方正小标宋_GBK" w:cs="Times New Roman"/>
          <w:color w:val="auto"/>
          <w:sz w:val="32"/>
          <w:szCs w:val="32"/>
        </w:rPr>
        <w:t>2025级</w:t>
      </w:r>
      <w:r>
        <w:rPr>
          <w:rFonts w:ascii="Times New Roman" w:hAnsi="Times New Roman" w:eastAsia="方正小标宋_GBK" w:cs="Times New Roman"/>
          <w:color w:val="auto"/>
          <w:kern w:val="0"/>
          <w:sz w:val="32"/>
          <w:szCs w:val="32"/>
        </w:rPr>
        <w:t>普通全日制</w:t>
      </w:r>
      <w:r>
        <w:rPr>
          <w:rFonts w:ascii="Times New Roman" w:hAnsi="Times New Roman" w:eastAsia="方正小标宋_GBK" w:cs="Times New Roman"/>
          <w:color w:val="auto"/>
          <w:sz w:val="32"/>
          <w:szCs w:val="32"/>
        </w:rPr>
        <w:t>本科生转专业工作实施细则</w:t>
      </w:r>
    </w:p>
    <w:p w14:paraId="75EC6B2D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为规范有序开展学院2025级普通全日制本科生转专业工作，依据《连云港师范学院本科生转专业实施办法》（连师〔2025〕32号）相关要求，结合学院本科专业办学实际，制定本细则。本细则适用于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数学与信息工程学院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2025级全日制普通本科学生转出、外院学生转入相关工作，遵循志愿优先、择优录取、总量管控、规范透明原则。</w:t>
      </w:r>
    </w:p>
    <w:p w14:paraId="09D8A20D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一、学院转专业工作小组</w:t>
      </w:r>
    </w:p>
    <w:p w14:paraId="56CD7435">
      <w:pPr>
        <w:spacing w:line="360" w:lineRule="auto"/>
        <w:ind w:firstLine="562" w:firstLineChars="200"/>
        <w:rPr>
          <w:rFonts w:ascii="楷体" w:hAnsi="楷体" w:eastAsia="楷体" w:cs="楷体"/>
          <w:b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auto"/>
          <w:sz w:val="28"/>
          <w:szCs w:val="28"/>
        </w:rPr>
        <w:t>（一）工作小组构成</w:t>
      </w:r>
    </w:p>
    <w:p w14:paraId="22F00AE5">
      <w:pPr>
        <w:pStyle w:val="8"/>
        <w:widowControl/>
        <w:rPr>
          <w:rFonts w:ascii="方正仿宋_GB2312" w:hAnsi="方正仿宋_GB2312" w:eastAsia="方正仿宋_GB2312" w:cs="方正仿宋_GB2312"/>
          <w:color w:val="auto"/>
        </w:rPr>
      </w:pPr>
      <w:r>
        <w:rPr>
          <w:rFonts w:hint="eastAsia" w:ascii="方正仿宋_GB2312" w:hAnsi="方正仿宋_GB2312" w:eastAsia="方正仿宋_GB2312" w:cs="方正仿宋_GB2312"/>
          <w:color w:val="auto"/>
        </w:rPr>
        <w:t>组  长：</w:t>
      </w:r>
      <w:r>
        <w:rPr>
          <w:rFonts w:hint="eastAsia" w:ascii="方正仿宋_GB2312" w:hAnsi="方正仿宋_GB2312" w:eastAsia="方正仿宋_GB2312" w:cs="方正仿宋_GB2312"/>
          <w:color w:val="auto"/>
        </w:rPr>
        <w:t>朱海燕  王晓光</w:t>
      </w:r>
    </w:p>
    <w:p w14:paraId="6DDEAD69">
      <w:pPr>
        <w:pStyle w:val="8"/>
        <w:widowControl/>
        <w:rPr>
          <w:rFonts w:ascii="方正仿宋_GB2312" w:hAnsi="方正仿宋_GB2312" w:eastAsia="方正仿宋_GB2312" w:cs="方正仿宋_GB2312"/>
          <w:color w:val="auto"/>
        </w:rPr>
      </w:pPr>
      <w:r>
        <w:rPr>
          <w:rFonts w:hint="eastAsia" w:ascii="方正仿宋_GB2312" w:hAnsi="方正仿宋_GB2312" w:eastAsia="方正仿宋_GB2312" w:cs="方正仿宋_GB2312"/>
          <w:color w:val="auto"/>
        </w:rPr>
        <w:t>副组长：</w:t>
      </w:r>
      <w:r>
        <w:rPr>
          <w:rFonts w:hint="eastAsia" w:ascii="方正仿宋_GB2312" w:hAnsi="方正仿宋_GB2312" w:eastAsia="方正仿宋_GB2312" w:cs="方正仿宋_GB2312"/>
          <w:color w:val="auto"/>
          <w:lang w:bidi="ar"/>
        </w:rPr>
        <w:t>包佃清</w:t>
      </w:r>
      <w:r>
        <w:rPr>
          <w:rFonts w:hint="eastAsia" w:ascii="方正仿宋_GB2312" w:hAnsi="方正仿宋_GB2312" w:eastAsia="方正仿宋_GB2312" w:cs="方正仿宋_GB2312"/>
          <w:color w:val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lang w:bidi="ar"/>
        </w:rPr>
        <w:t>马黎艳</w:t>
      </w:r>
    </w:p>
    <w:p w14:paraId="12AF7428">
      <w:pPr>
        <w:pStyle w:val="5"/>
        <w:widowControl/>
        <w:ind w:firstLine="560"/>
        <w:rPr>
          <w:rFonts w:ascii="方正仿宋_GB2312" w:hAnsi="方正仿宋_GB2312" w:eastAsia="方正仿宋_GB2312" w:cs="方正仿宋_GB2312"/>
          <w:color w:val="auto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成  员：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周明旺（纪检委员）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宋玉连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王继顺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李凤界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吴春生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郭家勇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苏强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lang w:bidi="ar"/>
        </w:rPr>
        <w:t>徐海凤</w:t>
      </w:r>
    </w:p>
    <w:p w14:paraId="7007E24B">
      <w:pPr>
        <w:spacing w:line="360" w:lineRule="auto"/>
        <w:ind w:firstLine="562" w:firstLineChars="200"/>
        <w:rPr>
          <w:rFonts w:ascii="楷体" w:hAnsi="楷体" w:eastAsia="楷体" w:cs="楷体"/>
          <w:b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auto"/>
          <w:sz w:val="28"/>
          <w:szCs w:val="28"/>
        </w:rPr>
        <w:t>（二）职责分工</w:t>
      </w:r>
    </w:p>
    <w:p w14:paraId="79814730">
      <w:pPr>
        <w:spacing w:line="360" w:lineRule="auto"/>
        <w:ind w:left="239" w:leftChars="114" w:firstLine="280" w:firstLineChars="1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组  长：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对学院转专业工作负总责，审定接收计划、面试方案、拟录取名单，协调重大事项。</w:t>
      </w:r>
    </w:p>
    <w:p w14:paraId="6F94E483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副组长：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统筹资格审核、成绩核算、学业衔接；负责政策宣讲、信息核查、学生沟通、纪律监督。</w:t>
      </w:r>
    </w:p>
    <w:p w14:paraId="3E0F5AF8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成  员：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开展政策解读、指导学生填报、核实家长知情签字、初审学籍与处分记录；制定面试评分标准、参与面试考核、设计转入学生修读计划；汇总申请材料、核对绩点与排名、梳理公示材料、归档全程资料。</w:t>
      </w:r>
    </w:p>
    <w:p w14:paraId="6E21ACCA">
      <w:pPr>
        <w:spacing w:line="360" w:lineRule="auto"/>
        <w:ind w:firstLine="562" w:firstLineChars="200"/>
        <w:rPr>
          <w:rFonts w:ascii="楷体" w:hAnsi="楷体" w:eastAsia="楷体" w:cs="楷体"/>
          <w:b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auto"/>
          <w:sz w:val="28"/>
          <w:szCs w:val="28"/>
        </w:rPr>
        <w:t>（三）纪检监督安排</w:t>
      </w:r>
    </w:p>
    <w:p w14:paraId="1CEEB347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1.学院纪检委员全程参与转专业资格审核、面试、成绩核算、拟录取公示等关键环节，进行现场监督，确保工作流程合规。</w:t>
      </w:r>
    </w:p>
    <w:p w14:paraId="0C6061DE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2.设置学院转专业工作咨询电话，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联系人：李老师，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电话号码：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0518-8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59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8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6009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、18914770916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。</w:t>
      </w:r>
    </w:p>
    <w:p w14:paraId="68974887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二、转出学生资格初审规则、流程、公示与异议处理</w:t>
      </w:r>
    </w:p>
    <w:p w14:paraId="0EC65CCE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（一）资格初审工作规则</w:t>
      </w:r>
    </w:p>
    <w:p w14:paraId="6AE304AE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1.申请学生须完成第一学年所有必修课程的学习，两学期必修课程平均学分绩点在班级排名前 60%（含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），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在校期间无任何纪律处分记录，入学满一学期。</w:t>
      </w:r>
    </w:p>
    <w:p w14:paraId="223769BE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2.申请转专业且初审合格的学生人数不超过班级总人数的25%，若班级初审合格申请人数超出该上限，则按学生两学期必修课程平均学分绩点由高到低排序，确定最终转出报名资格。</w:t>
      </w:r>
    </w:p>
    <w:p w14:paraId="42E07278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3.处于休学、保留学籍期间的学生不得申请转专业，不得跨类申请体育类专业。</w:t>
      </w:r>
    </w:p>
    <w:p w14:paraId="37943445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（二）审核流程</w:t>
      </w:r>
    </w:p>
    <w:p w14:paraId="4BA60A44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1.2026年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7月初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，完成本院申请学生的资格初审。审核内容包括：学生学籍状态、纪律处分记录、必修课程平均学分绩点与班级排名、是否符合转出名额管控要求、申请材料真实性、是否存在禁转情形；审核过程中，严格以教务系统导出的2025级学生第一</w:t>
      </w:r>
      <w:r>
        <w:rPr>
          <w:rFonts w:hint="eastAsia" w:ascii="Times New Roman" w:hAnsi="Times New Roman" w:eastAsia="方正仿宋_GB2312" w:cs="Times New Roman"/>
          <w:color w:val="auto"/>
          <w:kern w:val="0"/>
          <w:sz w:val="28"/>
          <w:szCs w:val="28"/>
          <w:lang w:bidi="ar"/>
        </w:rPr>
        <w:t>学年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必修课程平均学分绩点、班级排名数据为唯一依据。</w:t>
      </w:r>
    </w:p>
    <w:p w14:paraId="3BE4AC51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2.对申请人数超出班级总人数25%上限的班级，严格按两学期必修课程平均学分绩点由高到低排序，确定初审合格名单，超额人员不予通过初审。</w:t>
      </w:r>
    </w:p>
    <w:p w14:paraId="4EB3828E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（三）公示与异议处理</w:t>
      </w:r>
    </w:p>
    <w:p w14:paraId="57A46756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2026年7月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上旬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在学院官网、公告栏公示初审合格名单，公示3个工作日，含学生姓名、学号、班级、绩点排名、初审结果。</w:t>
      </w:r>
    </w:p>
    <w:p w14:paraId="591D41B5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公示期内如有异议，以书面形式提交学院转专业工作小组，3个工作日内核查并书面反馈。无异议后，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学院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将初审合格名单与材料报送教务处。</w:t>
      </w:r>
    </w:p>
    <w:p w14:paraId="526E9312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三、转入专业面试考核方案</w:t>
      </w:r>
    </w:p>
    <w:p w14:paraId="770CFCF7">
      <w:pPr>
        <w:snapToGrid w:val="0"/>
        <w:spacing w:line="560" w:lineRule="atLeast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（一）面试评委组成规则</w:t>
      </w:r>
    </w:p>
    <w:p w14:paraId="4851915B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1.面试评委不少于5人，由专业负责人、骨干教师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等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组成。</w:t>
      </w:r>
    </w:p>
    <w:p w14:paraId="7C423309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2.严格执行回避制度，与考生有亲属关系或利害关系的评委须主动回避。</w:t>
      </w:r>
    </w:p>
    <w:p w14:paraId="12ACDE74">
      <w:pPr>
        <w:snapToGrid w:val="0"/>
        <w:spacing w:line="560" w:lineRule="atLeast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（二）考核内容</w:t>
      </w:r>
    </w:p>
    <w:p w14:paraId="0CDEB720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1.书写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技能考核</w:t>
      </w:r>
    </w:p>
    <w:p w14:paraId="5723F5D4">
      <w:pPr>
        <w:widowControl/>
        <w:snapToGrid w:val="0"/>
        <w:spacing w:line="560" w:lineRule="atLeast"/>
        <w:ind w:firstLine="560" w:firstLineChars="200"/>
        <w:jc w:val="left"/>
        <w:rPr>
          <w:color w:val="auto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重点考查粉笔字和钢笔字的书写能力，满分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25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分。测试要求：书写指定的粉笔字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20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个左右，字体为楷体；书写指定的钢笔字一段文字，字体为楷体。书写时间共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10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分钟。</w:t>
      </w:r>
      <w:r>
        <w:rPr>
          <w:rFonts w:ascii="宋体" w:hAnsi="宋体" w:eastAsia="宋体" w:cs="宋体"/>
          <w:color w:val="auto"/>
          <w:sz w:val="24"/>
          <w:lang w:bidi="ar"/>
        </w:rPr>
        <w:t xml:space="preserve"> </w:t>
      </w:r>
    </w:p>
    <w:p w14:paraId="199AB07E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2.专业基础知识</w:t>
      </w:r>
    </w:p>
    <w:p w14:paraId="5E718985">
      <w:pPr>
        <w:widowControl/>
        <w:snapToGrid w:val="0"/>
        <w:spacing w:line="560" w:lineRule="atLeast"/>
        <w:ind w:firstLine="560" w:firstLineChars="200"/>
        <w:jc w:val="left"/>
        <w:rPr>
          <w:color w:val="auto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采用现场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闭卷笔试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形式，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满分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50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分。题型结构为：选择题（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15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分）、填空题（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15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分）、解答题（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20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分），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涉及范围为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中学数学（数与代数、图形与几何）、高等数学（一元微分学）的相关知识。笔试时间共</w:t>
      </w:r>
      <w:r>
        <w:rPr>
          <w:rFonts w:ascii="Times New Roman" w:hAnsi="Times New Roman" w:eastAsia="仿宋_GB2312" w:cs="Times New Roman"/>
          <w:color w:val="auto"/>
          <w:sz w:val="28"/>
          <w:szCs w:val="28"/>
          <w:lang w:bidi="ar"/>
        </w:rPr>
        <w:t>60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bidi="ar"/>
        </w:rPr>
        <w:t>分钟。</w:t>
      </w:r>
    </w:p>
    <w:p w14:paraId="44B5928D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笔试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复习参考书目：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中学数学教材；高等数学教材（一元微分学部分）。</w:t>
      </w:r>
    </w:p>
    <w:p w14:paraId="04C3FFE5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3.语言表达</w:t>
      </w:r>
    </w:p>
    <w:p w14:paraId="6E3CB168">
      <w:pPr>
        <w:snapToGrid w:val="0"/>
        <w:spacing w:line="560" w:lineRule="atLeast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根据给定的材料，表达自己的观点和看法，满分25分。准备时间10分钟，表达3分钟。</w:t>
      </w:r>
    </w:p>
    <w:p w14:paraId="296ECBFB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（三）</w:t>
      </w:r>
      <w:r>
        <w:rPr>
          <w:rFonts w:hint="eastAsia" w:ascii="楷体" w:hAnsi="楷体" w:eastAsia="楷体" w:cs="楷体"/>
          <w:bCs/>
          <w:color w:val="auto"/>
          <w:sz w:val="28"/>
          <w:szCs w:val="28"/>
        </w:rPr>
        <w:t>评分标准</w:t>
      </w:r>
    </w:p>
    <w:p w14:paraId="1A9436ED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1.书写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技能考核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25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分）</w:t>
      </w:r>
    </w:p>
    <w:tbl>
      <w:tblPr>
        <w:tblStyle w:val="6"/>
        <w:tblW w:w="0" w:type="auto"/>
        <w:tblInd w:w="2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3136"/>
        <w:gridCol w:w="1005"/>
        <w:gridCol w:w="900"/>
        <w:gridCol w:w="885"/>
        <w:gridCol w:w="787"/>
      </w:tblGrid>
      <w:tr w14:paraId="185A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420" w:type="dxa"/>
            <w:vMerge w:val="restart"/>
            <w:vAlign w:val="center"/>
          </w:tcPr>
          <w:p w14:paraId="430BD44D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评价项目</w:t>
            </w:r>
          </w:p>
        </w:tc>
        <w:tc>
          <w:tcPr>
            <w:tcW w:w="3136" w:type="dxa"/>
            <w:vMerge w:val="restart"/>
            <w:vAlign w:val="center"/>
          </w:tcPr>
          <w:p w14:paraId="37DC5C46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评价要点</w:t>
            </w:r>
          </w:p>
        </w:tc>
        <w:tc>
          <w:tcPr>
            <w:tcW w:w="3577" w:type="dxa"/>
            <w:gridSpan w:val="4"/>
            <w:vAlign w:val="center"/>
          </w:tcPr>
          <w:p w14:paraId="1BCCBC27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评价等级</w:t>
            </w:r>
          </w:p>
        </w:tc>
      </w:tr>
      <w:tr w14:paraId="68B8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731D836F">
            <w:pPr>
              <w:spacing w:line="400" w:lineRule="exact"/>
              <w:ind w:firstLine="482" w:firstLineChars="200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</w:p>
        </w:tc>
        <w:tc>
          <w:tcPr>
            <w:tcW w:w="3136" w:type="dxa"/>
            <w:vMerge w:val="continue"/>
            <w:vAlign w:val="center"/>
          </w:tcPr>
          <w:p w14:paraId="4E4830AF">
            <w:pPr>
              <w:spacing w:line="400" w:lineRule="exact"/>
              <w:ind w:firstLine="482" w:firstLineChars="200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</w:p>
        </w:tc>
        <w:tc>
          <w:tcPr>
            <w:tcW w:w="1005" w:type="dxa"/>
            <w:vAlign w:val="center"/>
          </w:tcPr>
          <w:p w14:paraId="4280910D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优</w:t>
            </w:r>
          </w:p>
        </w:tc>
        <w:tc>
          <w:tcPr>
            <w:tcW w:w="900" w:type="dxa"/>
            <w:vAlign w:val="center"/>
          </w:tcPr>
          <w:p w14:paraId="594973A4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良</w:t>
            </w:r>
          </w:p>
        </w:tc>
        <w:tc>
          <w:tcPr>
            <w:tcW w:w="885" w:type="dxa"/>
            <w:vAlign w:val="center"/>
          </w:tcPr>
          <w:p w14:paraId="71E64533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中</w:t>
            </w:r>
          </w:p>
        </w:tc>
        <w:tc>
          <w:tcPr>
            <w:tcW w:w="787" w:type="dxa"/>
            <w:vAlign w:val="center"/>
          </w:tcPr>
          <w:p w14:paraId="29F9A193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差</w:t>
            </w:r>
          </w:p>
        </w:tc>
      </w:tr>
      <w:tr w14:paraId="4243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0" w:type="dxa"/>
            <w:vAlign w:val="center"/>
          </w:tcPr>
          <w:p w14:paraId="0397071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书写规范</w:t>
            </w:r>
          </w:p>
        </w:tc>
        <w:tc>
          <w:tcPr>
            <w:tcW w:w="3136" w:type="dxa"/>
            <w:vAlign w:val="center"/>
          </w:tcPr>
          <w:p w14:paraId="53F899B5"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笔画书写清楚到位，无错别字、繁体字和异体字等。</w:t>
            </w:r>
          </w:p>
        </w:tc>
        <w:tc>
          <w:tcPr>
            <w:tcW w:w="1005" w:type="dxa"/>
            <w:vMerge w:val="restart"/>
            <w:vAlign w:val="center"/>
          </w:tcPr>
          <w:p w14:paraId="032D9B1C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25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20</w:t>
            </w:r>
          </w:p>
        </w:tc>
        <w:tc>
          <w:tcPr>
            <w:tcW w:w="900" w:type="dxa"/>
            <w:vMerge w:val="restart"/>
            <w:vAlign w:val="center"/>
          </w:tcPr>
          <w:p w14:paraId="07A4394C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19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5</w:t>
            </w:r>
          </w:p>
        </w:tc>
        <w:tc>
          <w:tcPr>
            <w:tcW w:w="885" w:type="dxa"/>
            <w:vMerge w:val="restart"/>
            <w:vAlign w:val="center"/>
          </w:tcPr>
          <w:p w14:paraId="4236CDF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4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0</w:t>
            </w:r>
          </w:p>
        </w:tc>
        <w:tc>
          <w:tcPr>
            <w:tcW w:w="787" w:type="dxa"/>
            <w:vMerge w:val="restart"/>
            <w:vAlign w:val="center"/>
          </w:tcPr>
          <w:p w14:paraId="4B882D6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9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-0</w:t>
            </w:r>
          </w:p>
        </w:tc>
      </w:tr>
      <w:tr w14:paraId="702C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20" w:type="dxa"/>
            <w:vAlign w:val="center"/>
          </w:tcPr>
          <w:p w14:paraId="31ED5859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章法布局</w:t>
            </w:r>
          </w:p>
        </w:tc>
        <w:tc>
          <w:tcPr>
            <w:tcW w:w="3136" w:type="dxa"/>
            <w:vAlign w:val="center"/>
          </w:tcPr>
          <w:p w14:paraId="79630B65"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间架结构合理、笔画流畅，章法自然，整体感观舒适。</w:t>
            </w:r>
          </w:p>
        </w:tc>
        <w:tc>
          <w:tcPr>
            <w:tcW w:w="1005" w:type="dxa"/>
            <w:vMerge w:val="continue"/>
            <w:vAlign w:val="center"/>
          </w:tcPr>
          <w:p w14:paraId="67B9235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448CBD6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85" w:type="dxa"/>
            <w:vMerge w:val="continue"/>
            <w:vAlign w:val="center"/>
          </w:tcPr>
          <w:p w14:paraId="664B169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69AEC0EC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24B47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20" w:type="dxa"/>
            <w:vAlign w:val="center"/>
          </w:tcPr>
          <w:p w14:paraId="66E1793B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整体效果</w:t>
            </w:r>
          </w:p>
        </w:tc>
        <w:tc>
          <w:tcPr>
            <w:tcW w:w="3136" w:type="dxa"/>
            <w:vAlign w:val="center"/>
          </w:tcPr>
          <w:p w14:paraId="72F4AA9E"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版面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整洁、美观、无涂改。</w:t>
            </w:r>
          </w:p>
        </w:tc>
        <w:tc>
          <w:tcPr>
            <w:tcW w:w="1005" w:type="dxa"/>
            <w:vMerge w:val="continue"/>
            <w:vAlign w:val="center"/>
          </w:tcPr>
          <w:p w14:paraId="2F42559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1EDAC57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885" w:type="dxa"/>
            <w:vMerge w:val="continue"/>
            <w:vAlign w:val="center"/>
          </w:tcPr>
          <w:p w14:paraId="49D756B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6527033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</w:tbl>
    <w:p w14:paraId="39E1AE0A">
      <w:pPr>
        <w:spacing w:line="360" w:lineRule="auto"/>
        <w:ind w:firstLine="562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28"/>
          <w:szCs w:val="28"/>
        </w:rPr>
        <w:t>备注：本项目评委现场独立评分，取平均分为该项最终得分。</w:t>
      </w:r>
    </w:p>
    <w:p w14:paraId="21DE98B1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2.专业基础知识（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5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0分）</w:t>
      </w:r>
    </w:p>
    <w:p w14:paraId="739476B8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按照考生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笔试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实际得分核算本项成绩。</w:t>
      </w:r>
    </w:p>
    <w:p w14:paraId="219B686E">
      <w:pPr>
        <w:numPr>
          <w:ilvl w:val="0"/>
          <w:numId w:val="1"/>
        </w:num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语言表达（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25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分）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3018"/>
        <w:gridCol w:w="936"/>
        <w:gridCol w:w="1077"/>
        <w:gridCol w:w="936"/>
        <w:gridCol w:w="936"/>
      </w:tblGrid>
      <w:tr w14:paraId="67F6A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23" w:type="dxa"/>
            <w:vMerge w:val="restart"/>
            <w:vAlign w:val="center"/>
          </w:tcPr>
          <w:p w14:paraId="620219E7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评价项目</w:t>
            </w:r>
          </w:p>
        </w:tc>
        <w:tc>
          <w:tcPr>
            <w:tcW w:w="3018" w:type="dxa"/>
            <w:vMerge w:val="restart"/>
            <w:vAlign w:val="center"/>
          </w:tcPr>
          <w:p w14:paraId="05A899E0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评价要点</w:t>
            </w:r>
          </w:p>
        </w:tc>
        <w:tc>
          <w:tcPr>
            <w:tcW w:w="3885" w:type="dxa"/>
            <w:gridSpan w:val="4"/>
            <w:vAlign w:val="center"/>
          </w:tcPr>
          <w:p w14:paraId="3023C985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评价等级</w:t>
            </w:r>
          </w:p>
        </w:tc>
      </w:tr>
      <w:tr w14:paraId="5815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vMerge w:val="continue"/>
            <w:vAlign w:val="center"/>
          </w:tcPr>
          <w:p w14:paraId="7D805EDF">
            <w:pPr>
              <w:spacing w:line="400" w:lineRule="exact"/>
              <w:ind w:firstLine="482" w:firstLineChars="200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</w:p>
        </w:tc>
        <w:tc>
          <w:tcPr>
            <w:tcW w:w="3018" w:type="dxa"/>
            <w:vMerge w:val="continue"/>
            <w:vAlign w:val="center"/>
          </w:tcPr>
          <w:p w14:paraId="40C480A8">
            <w:pPr>
              <w:spacing w:line="400" w:lineRule="exact"/>
              <w:ind w:firstLine="482" w:firstLineChars="200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4D88793C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优</w:t>
            </w:r>
          </w:p>
        </w:tc>
        <w:tc>
          <w:tcPr>
            <w:tcW w:w="1077" w:type="dxa"/>
            <w:vAlign w:val="center"/>
          </w:tcPr>
          <w:p w14:paraId="079FC23A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良</w:t>
            </w:r>
          </w:p>
        </w:tc>
        <w:tc>
          <w:tcPr>
            <w:tcW w:w="936" w:type="dxa"/>
            <w:vAlign w:val="center"/>
          </w:tcPr>
          <w:p w14:paraId="16EACCDE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中</w:t>
            </w:r>
          </w:p>
        </w:tc>
        <w:tc>
          <w:tcPr>
            <w:tcW w:w="936" w:type="dxa"/>
            <w:vAlign w:val="center"/>
          </w:tcPr>
          <w:p w14:paraId="48C2110D">
            <w:pPr>
              <w:spacing w:line="400" w:lineRule="exact"/>
              <w:jc w:val="center"/>
              <w:rPr>
                <w:rFonts w:ascii="黑体" w:hAnsi="黑体" w:eastAsia="黑体" w:cs="黑体"/>
                <w:b/>
                <w:bCs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</w:rPr>
              <w:t>差</w:t>
            </w:r>
          </w:p>
        </w:tc>
      </w:tr>
      <w:tr w14:paraId="6953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3" w:type="dxa"/>
            <w:vAlign w:val="center"/>
          </w:tcPr>
          <w:p w14:paraId="39AB047B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内容表述</w:t>
            </w:r>
          </w:p>
        </w:tc>
        <w:tc>
          <w:tcPr>
            <w:tcW w:w="3018" w:type="dxa"/>
            <w:vAlign w:val="center"/>
          </w:tcPr>
          <w:p w14:paraId="70D7C7E9"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阐述内容充实、思路清晰。</w:t>
            </w:r>
          </w:p>
        </w:tc>
        <w:tc>
          <w:tcPr>
            <w:tcW w:w="936" w:type="dxa"/>
            <w:vMerge w:val="restart"/>
            <w:vAlign w:val="center"/>
          </w:tcPr>
          <w:p w14:paraId="211D1EB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25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20</w:t>
            </w:r>
          </w:p>
        </w:tc>
        <w:tc>
          <w:tcPr>
            <w:tcW w:w="1077" w:type="dxa"/>
            <w:vMerge w:val="restart"/>
            <w:vAlign w:val="center"/>
          </w:tcPr>
          <w:p w14:paraId="752F5F7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19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5</w:t>
            </w:r>
          </w:p>
        </w:tc>
        <w:tc>
          <w:tcPr>
            <w:tcW w:w="936" w:type="dxa"/>
            <w:vMerge w:val="restart"/>
            <w:vAlign w:val="center"/>
          </w:tcPr>
          <w:p w14:paraId="356E390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4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0</w:t>
            </w:r>
          </w:p>
        </w:tc>
        <w:tc>
          <w:tcPr>
            <w:tcW w:w="936" w:type="dxa"/>
            <w:vMerge w:val="restart"/>
            <w:vAlign w:val="center"/>
          </w:tcPr>
          <w:p w14:paraId="608F022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9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-0</w:t>
            </w:r>
          </w:p>
        </w:tc>
      </w:tr>
      <w:tr w14:paraId="73130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523" w:type="dxa"/>
            <w:vAlign w:val="center"/>
          </w:tcPr>
          <w:p w14:paraId="480168C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表达能力</w:t>
            </w:r>
          </w:p>
        </w:tc>
        <w:tc>
          <w:tcPr>
            <w:tcW w:w="3018" w:type="dxa"/>
            <w:vAlign w:val="center"/>
          </w:tcPr>
          <w:p w14:paraId="791EAAB5"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普通话发音标准、口齿清晰、语言流畅、声音洪亮。</w:t>
            </w:r>
          </w:p>
        </w:tc>
        <w:tc>
          <w:tcPr>
            <w:tcW w:w="936" w:type="dxa"/>
            <w:vMerge w:val="continue"/>
            <w:vAlign w:val="center"/>
          </w:tcPr>
          <w:p w14:paraId="2887D5F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077" w:type="dxa"/>
            <w:vMerge w:val="continue"/>
            <w:vAlign w:val="center"/>
          </w:tcPr>
          <w:p w14:paraId="7E285A7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6D228899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60DF56D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14E6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523" w:type="dxa"/>
            <w:vAlign w:val="center"/>
          </w:tcPr>
          <w:p w14:paraId="3D57F70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仪态举止</w:t>
            </w:r>
          </w:p>
        </w:tc>
        <w:tc>
          <w:tcPr>
            <w:tcW w:w="3018" w:type="dxa"/>
            <w:vAlign w:val="center"/>
          </w:tcPr>
          <w:p w14:paraId="72ACBD41"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仪表得体、举止大方。</w:t>
            </w:r>
          </w:p>
        </w:tc>
        <w:tc>
          <w:tcPr>
            <w:tcW w:w="936" w:type="dxa"/>
            <w:vMerge w:val="continue"/>
            <w:vAlign w:val="center"/>
          </w:tcPr>
          <w:p w14:paraId="67E54E29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077" w:type="dxa"/>
            <w:vMerge w:val="continue"/>
            <w:vAlign w:val="center"/>
          </w:tcPr>
          <w:p w14:paraId="62F47C2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584B7DF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632B72F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 w14:paraId="6BDFA446">
      <w:pPr>
        <w:spacing w:line="360" w:lineRule="auto"/>
        <w:ind w:firstLine="562" w:firstLineChars="200"/>
        <w:rPr>
          <w:rFonts w:ascii="Times New Roman" w:hAnsi="Times New Roman" w:eastAsia="仿宋_GB2312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28"/>
          <w:szCs w:val="28"/>
        </w:rPr>
        <w:t>备注：本项目评委现场独立评分，取平均分为该项最终得分。</w:t>
      </w:r>
    </w:p>
    <w:p w14:paraId="7DADEFD6">
      <w:pPr>
        <w:spacing w:line="360" w:lineRule="auto"/>
        <w:ind w:firstLine="562" w:firstLineChars="200"/>
        <w:rPr>
          <w:rFonts w:ascii="Times New Roman" w:hAnsi="Times New Roman" w:eastAsia="仿宋_GB2312" w:cs="Times New Roman"/>
          <w:b/>
          <w:bCs/>
          <w:color w:val="auto"/>
          <w:sz w:val="28"/>
          <w:szCs w:val="28"/>
        </w:rPr>
      </w:pPr>
    </w:p>
    <w:p w14:paraId="14D6DFDA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 xml:space="preserve">四、综合考核成绩核算规则 </w:t>
      </w:r>
    </w:p>
    <w:p w14:paraId="12567275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考生综合考核成绩核算，严格执行“综合成绩 M = M₁（学业考核 60%）+ M₂（基础科目考核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 xml:space="preserve"> 20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%）+ M₃（面试考核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 xml:space="preserve"> 20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%）”的固定权重，综合考核满分100分，所有分值均四舍五入至小数点后两位。</w:t>
      </w:r>
    </w:p>
    <w:p w14:paraId="1971B831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其中：</w:t>
      </w:r>
    </w:p>
    <w:p w14:paraId="3AB3E06E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M₁（学业考核）=学生第一学年必修课程平均学分绩点/5.0×100×60%，以教务系统导出数据为准；统计时点为第一学年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第二学期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期末正考成绩公布后，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该学期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期末申请缓考的必修课程成绩绩点按0计入；</w:t>
      </w:r>
    </w:p>
    <w:p w14:paraId="21B5B162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M₂（基础科目考核）=（学生全国大学外语四级考试成绩/710）×100×20%，以学生</w:t>
      </w:r>
      <w:r>
        <w:rPr>
          <w:rFonts w:hint="eastAsia" w:eastAsia="仿宋_GB2312" w:cs="Times New Roman"/>
          <w:color w:val="auto"/>
          <w:sz w:val="28"/>
          <w:szCs w:val="28"/>
        </w:rPr>
        <w:t>综合成绩核算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时已取得的最高全国大学外语四级考试成绩为准，未取得四级考试成绩的，该项成绩按0分计入；</w:t>
      </w:r>
    </w:p>
    <w:p w14:paraId="5262B2C6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M₃（面试考核）=面试成绩×20%。</w:t>
      </w:r>
    </w:p>
    <w:p w14:paraId="2F713C48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五、拟录取名单确认规则</w:t>
      </w:r>
    </w:p>
    <w:p w14:paraId="262274A5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严格遵循志愿优先、综合排名、择优录取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的原则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b/>
          <w:bCs/>
          <w:color w:val="auto"/>
          <w:sz w:val="28"/>
          <w:szCs w:val="28"/>
        </w:rPr>
        <w:t>只录取第一志愿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。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对综合考核总成绩≥60分的学生，按接收专业从高分到低分排序，依据公布的接收计划依次录取，末位同分者全部录取。拟录取建议名单经学院工作小组与纪检委员签字后，报送教务处复核。</w:t>
      </w:r>
    </w:p>
    <w:p w14:paraId="12E1934B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六、转入学生学业衔接方案</w:t>
      </w:r>
    </w:p>
    <w:p w14:paraId="72DC644F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（一）课程替代</w:t>
      </w:r>
    </w:p>
    <w:p w14:paraId="0C011028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1.通识教育类课程：原专业已修读的与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数学与应用数学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专业开设一致的课程直接认定相应学分。</w:t>
      </w:r>
    </w:p>
    <w:p w14:paraId="1FD57FC3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2.学科专业教育类课程、教师教育类课程：原专业修读课程与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数学与应用数学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专业课程内容重合度≥70%，经学院审核后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可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替代相应学分。</w:t>
      </w:r>
    </w:p>
    <w:p w14:paraId="5C931C47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（二）学分认定</w:t>
      </w:r>
    </w:p>
    <w:p w14:paraId="12B0B1BA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1.转入学生第一学年已修读的与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数学与应用数学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专业相同或相近的课程，经审核认定对应学分，不重复修读。</w:t>
      </w:r>
    </w:p>
    <w:p w14:paraId="1F9EEF8F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2.转入学生的学分认定清单由教务秘书汇总，教研室主任初审、学院教学委员会审定。</w:t>
      </w:r>
    </w:p>
    <w:p w14:paraId="2F590343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  <w:highlight w:val="yellow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（三）补修课程安排</w:t>
      </w:r>
    </w:p>
    <w:p w14:paraId="04DEF1AB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转入学生须补修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数学与应用数学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专业第一学年缺修的相关课程，随2026级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数学与应用数学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专业相关班级对应课程进行修读，并参加补修考试。学院为转入学生制定个性化修读计划，明确补修课程、时间、考核方式。</w:t>
      </w:r>
    </w:p>
    <w:p w14:paraId="77E9D5CE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（四）学业帮扶措施</w:t>
      </w:r>
    </w:p>
    <w:p w14:paraId="60BC31E0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1.学院召开转入学生学业衔接指导会，宣讲人才培养方案、毕业要求、学位条件。</w:t>
      </w:r>
    </w:p>
    <w:p w14:paraId="2ED249C0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2.安排专业教师和优秀学生开展一对一帮扶，指导转专业学生的课程学习与规划。</w:t>
      </w:r>
    </w:p>
    <w:p w14:paraId="54640964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3.持续关注转入学生学业情况，对学习困难学生重点辅导，确保平稳过渡。</w:t>
      </w:r>
    </w:p>
    <w:p w14:paraId="1CC9157A">
      <w:pPr>
        <w:spacing w:line="360" w:lineRule="auto"/>
        <w:ind w:firstLine="562" w:firstLineChars="200"/>
        <w:rPr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七、全程监督保障与申诉处理机制</w:t>
      </w:r>
    </w:p>
    <w:p w14:paraId="69499C1F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（一）监督保障</w:t>
      </w:r>
    </w:p>
    <w:p w14:paraId="47F730F2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1.严格规范执行，落实主体责任。</w:t>
      </w:r>
      <w:r>
        <w:rPr>
          <w:rFonts w:ascii="Times New Roman" w:hAnsi="Times New Roman" w:eastAsia="仿宋_GB2312" w:cs="Times New Roman"/>
          <w:b/>
          <w:bCs/>
          <w:color w:val="auto"/>
          <w:sz w:val="28"/>
          <w:szCs w:val="28"/>
        </w:rPr>
        <w:t>学院院长为第一责任人，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对本学院转专业工作的合规性、公平性负责。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严禁任何单位、个人在资格审核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、考核评分、录取环节出现徇私舞弊、弄虚作假、放宽标准等行为，严禁以任何形式开展转专业相关的考前辅导、培训。</w:t>
      </w:r>
    </w:p>
    <w:p w14:paraId="711D8C07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.强化全程留痕，完善档案管理。学院转专业工作全程所有环节的材料，包括方案、申请材料、面试评分表、录音录像资料、成绩公示文件、录取名单等，全部以纸质+电子形式归档留存，做到全程可追溯、可核查，档案留存期限至学生毕业后3年。</w:t>
      </w:r>
    </w:p>
    <w:p w14:paraId="1591D9C3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3.严格回避制度，保障公平公正。资格审核、面试考核等环节，相关工作人员与学生有亲属关系或利害关系的，须主动申请回避，未主动回避的，一经查实，依规依纪严肃处理。</w:t>
      </w:r>
    </w:p>
    <w:p w14:paraId="175BD300">
      <w:pPr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（二）申诉处理</w:t>
      </w:r>
    </w:p>
    <w:p w14:paraId="38BA7394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学生对资格审核结果、考核成绩、录取结果有异议的，可在对应公示期内向学院申诉，学院在3个工作日内反馈复核结果。学生对复核结果不满意的，可再次向教务处提起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书面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申诉。申诉期间不暂停整体工作推进，仅对涉事学生的相关资格做临时锁定。</w:t>
      </w:r>
    </w:p>
    <w:p w14:paraId="63F0C0AB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  <w:szCs w:val="28"/>
        </w:rPr>
      </w:pPr>
    </w:p>
    <w:p w14:paraId="261C3A09">
      <w:pPr>
        <w:wordWrap w:val="0"/>
        <w:spacing w:line="360" w:lineRule="auto"/>
        <w:jc w:val="right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数学与信息工程学院</w:t>
      </w:r>
    </w:p>
    <w:p w14:paraId="23EB43E9">
      <w:pPr>
        <w:spacing w:line="360" w:lineRule="auto"/>
        <w:jc w:val="right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28"/>
          <w:szCs w:val="28"/>
        </w:rPr>
        <w:t>2026年5月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auto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A583D2-DB11-433C-B934-EF446F7413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64930F9-7A61-454F-8DB4-07742836643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AC775FB-642C-4045-BB30-3CAE254F16E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D40F93C-7A1A-42AF-8749-2F1698F03F0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5BFD4D3-CBA2-4FA0-9A08-6F6CE4E48B75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2F78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0CF69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0CF69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A598EA"/>
    <w:multiLevelType w:val="singleLevel"/>
    <w:tmpl w:val="BDA598E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51138"/>
    <w:rsid w:val="003447E3"/>
    <w:rsid w:val="003451E1"/>
    <w:rsid w:val="004060DE"/>
    <w:rsid w:val="00461BC9"/>
    <w:rsid w:val="006C3533"/>
    <w:rsid w:val="00B66B6C"/>
    <w:rsid w:val="00C1173A"/>
    <w:rsid w:val="00C617CB"/>
    <w:rsid w:val="00D63232"/>
    <w:rsid w:val="00F63487"/>
    <w:rsid w:val="00FF6C9F"/>
    <w:rsid w:val="0147153B"/>
    <w:rsid w:val="04910D1F"/>
    <w:rsid w:val="04E13A54"/>
    <w:rsid w:val="05571F68"/>
    <w:rsid w:val="0C3B6140"/>
    <w:rsid w:val="0D4252AC"/>
    <w:rsid w:val="0F8C0530"/>
    <w:rsid w:val="0FFBDBFA"/>
    <w:rsid w:val="0FFC1742"/>
    <w:rsid w:val="113F222E"/>
    <w:rsid w:val="13A16A15"/>
    <w:rsid w:val="13C71587"/>
    <w:rsid w:val="16DB393A"/>
    <w:rsid w:val="17AF9F38"/>
    <w:rsid w:val="17D80CE7"/>
    <w:rsid w:val="1B47F077"/>
    <w:rsid w:val="1BC525FB"/>
    <w:rsid w:val="1BD5FBE3"/>
    <w:rsid w:val="1D5720E1"/>
    <w:rsid w:val="1E7F010E"/>
    <w:rsid w:val="1F884137"/>
    <w:rsid w:val="1FFB06A8"/>
    <w:rsid w:val="229D3C7C"/>
    <w:rsid w:val="24606709"/>
    <w:rsid w:val="260E1D77"/>
    <w:rsid w:val="26502DBE"/>
    <w:rsid w:val="26DD1E76"/>
    <w:rsid w:val="26F92A28"/>
    <w:rsid w:val="27091538"/>
    <w:rsid w:val="296F5B9B"/>
    <w:rsid w:val="29C90D8B"/>
    <w:rsid w:val="2BF7BC05"/>
    <w:rsid w:val="2D8137C2"/>
    <w:rsid w:val="2E254102"/>
    <w:rsid w:val="2F83E398"/>
    <w:rsid w:val="2FBE0473"/>
    <w:rsid w:val="2FCF16FC"/>
    <w:rsid w:val="311E37B6"/>
    <w:rsid w:val="348D2BD0"/>
    <w:rsid w:val="34A51AF9"/>
    <w:rsid w:val="359471CD"/>
    <w:rsid w:val="360FE4D4"/>
    <w:rsid w:val="3677F9E4"/>
    <w:rsid w:val="36C3992C"/>
    <w:rsid w:val="373F5C52"/>
    <w:rsid w:val="376FEF9D"/>
    <w:rsid w:val="377FD4E1"/>
    <w:rsid w:val="37DCF208"/>
    <w:rsid w:val="3A29D442"/>
    <w:rsid w:val="3B6F9B78"/>
    <w:rsid w:val="3BD591EC"/>
    <w:rsid w:val="3BDFF041"/>
    <w:rsid w:val="3BFD428D"/>
    <w:rsid w:val="3E5C6889"/>
    <w:rsid w:val="3E6D2DA3"/>
    <w:rsid w:val="3EDB92AF"/>
    <w:rsid w:val="3EECD638"/>
    <w:rsid w:val="3EFFA0FC"/>
    <w:rsid w:val="3EFFC3DE"/>
    <w:rsid w:val="3FBA34C8"/>
    <w:rsid w:val="3FF2AEDD"/>
    <w:rsid w:val="3FFC8155"/>
    <w:rsid w:val="42D51138"/>
    <w:rsid w:val="44E87F0C"/>
    <w:rsid w:val="453F7A54"/>
    <w:rsid w:val="47631ACB"/>
    <w:rsid w:val="47E726FC"/>
    <w:rsid w:val="4B704F22"/>
    <w:rsid w:val="4BBD34D0"/>
    <w:rsid w:val="4BBF23CB"/>
    <w:rsid w:val="4CDF9C3B"/>
    <w:rsid w:val="4FBE6D9B"/>
    <w:rsid w:val="4FE84C2C"/>
    <w:rsid w:val="52120376"/>
    <w:rsid w:val="52BE2788"/>
    <w:rsid w:val="52F40EBF"/>
    <w:rsid w:val="53BFECC4"/>
    <w:rsid w:val="54200197"/>
    <w:rsid w:val="54BBA715"/>
    <w:rsid w:val="582F1556"/>
    <w:rsid w:val="590D6EB9"/>
    <w:rsid w:val="592A40AB"/>
    <w:rsid w:val="59FE0DBA"/>
    <w:rsid w:val="59FFF1CF"/>
    <w:rsid w:val="5BFE7C91"/>
    <w:rsid w:val="5CC20BEA"/>
    <w:rsid w:val="5D6DB001"/>
    <w:rsid w:val="5DFD273A"/>
    <w:rsid w:val="5EF46ECC"/>
    <w:rsid w:val="5FAEE24D"/>
    <w:rsid w:val="5FD74C57"/>
    <w:rsid w:val="5FE74647"/>
    <w:rsid w:val="5FEBBBAB"/>
    <w:rsid w:val="5FFB9BDF"/>
    <w:rsid w:val="61CF83AA"/>
    <w:rsid w:val="62782810"/>
    <w:rsid w:val="63770981"/>
    <w:rsid w:val="64FFC418"/>
    <w:rsid w:val="65385EEE"/>
    <w:rsid w:val="66F96F78"/>
    <w:rsid w:val="678D7DAE"/>
    <w:rsid w:val="6A760630"/>
    <w:rsid w:val="6A7631AB"/>
    <w:rsid w:val="6AC16985"/>
    <w:rsid w:val="6AF051B4"/>
    <w:rsid w:val="6D4270CF"/>
    <w:rsid w:val="6D853C9A"/>
    <w:rsid w:val="6E4E4801"/>
    <w:rsid w:val="6E593B11"/>
    <w:rsid w:val="6ECF5965"/>
    <w:rsid w:val="6F38731D"/>
    <w:rsid w:val="6F4FFD4E"/>
    <w:rsid w:val="6FBD28AC"/>
    <w:rsid w:val="6FDFE754"/>
    <w:rsid w:val="6FE39962"/>
    <w:rsid w:val="6FED0973"/>
    <w:rsid w:val="6FEFCCB0"/>
    <w:rsid w:val="6FFB07ED"/>
    <w:rsid w:val="6FFFB008"/>
    <w:rsid w:val="704F058F"/>
    <w:rsid w:val="70FA665B"/>
    <w:rsid w:val="71844269"/>
    <w:rsid w:val="71CE13F9"/>
    <w:rsid w:val="71EF4030"/>
    <w:rsid w:val="72035AD5"/>
    <w:rsid w:val="72037883"/>
    <w:rsid w:val="72F5090A"/>
    <w:rsid w:val="7472A6E9"/>
    <w:rsid w:val="75344338"/>
    <w:rsid w:val="759B3BDD"/>
    <w:rsid w:val="75BC37D0"/>
    <w:rsid w:val="767D98F6"/>
    <w:rsid w:val="76D18AD4"/>
    <w:rsid w:val="76FFB81C"/>
    <w:rsid w:val="77DF7545"/>
    <w:rsid w:val="77F675CD"/>
    <w:rsid w:val="77FB211D"/>
    <w:rsid w:val="782F412E"/>
    <w:rsid w:val="795D869B"/>
    <w:rsid w:val="797F9E4F"/>
    <w:rsid w:val="79E47F9A"/>
    <w:rsid w:val="7A7FB091"/>
    <w:rsid w:val="7B3F58FD"/>
    <w:rsid w:val="7B73F899"/>
    <w:rsid w:val="7B79C76F"/>
    <w:rsid w:val="7BB70BC2"/>
    <w:rsid w:val="7C075597"/>
    <w:rsid w:val="7CBB76D8"/>
    <w:rsid w:val="7CEE32AF"/>
    <w:rsid w:val="7CF25844"/>
    <w:rsid w:val="7D2D7BE6"/>
    <w:rsid w:val="7D6A077E"/>
    <w:rsid w:val="7DBFB910"/>
    <w:rsid w:val="7DFFCF37"/>
    <w:rsid w:val="7E75B56E"/>
    <w:rsid w:val="7EB70FEC"/>
    <w:rsid w:val="7F2610B3"/>
    <w:rsid w:val="7F2F5F17"/>
    <w:rsid w:val="7F6363B9"/>
    <w:rsid w:val="7F97B362"/>
    <w:rsid w:val="7FAE52D2"/>
    <w:rsid w:val="7FBC639A"/>
    <w:rsid w:val="7FBE08C4"/>
    <w:rsid w:val="7FDB0583"/>
    <w:rsid w:val="7FDB6044"/>
    <w:rsid w:val="7FDEBCC4"/>
    <w:rsid w:val="7FDEC0EA"/>
    <w:rsid w:val="7FEE8D6B"/>
    <w:rsid w:val="7FEF87EF"/>
    <w:rsid w:val="7FEF8E5F"/>
    <w:rsid w:val="7FF52706"/>
    <w:rsid w:val="7FF56045"/>
    <w:rsid w:val="7FF9B79E"/>
    <w:rsid w:val="7FFE13F9"/>
    <w:rsid w:val="7FFE255D"/>
    <w:rsid w:val="7FFF999A"/>
    <w:rsid w:val="7FFFE578"/>
    <w:rsid w:val="7FFFF59A"/>
    <w:rsid w:val="8FAD225F"/>
    <w:rsid w:val="8FDD258E"/>
    <w:rsid w:val="923E2D85"/>
    <w:rsid w:val="967BDF9C"/>
    <w:rsid w:val="97BF24BF"/>
    <w:rsid w:val="9A9F027A"/>
    <w:rsid w:val="9BEBA7D5"/>
    <w:rsid w:val="9DFDE25E"/>
    <w:rsid w:val="9DFE7490"/>
    <w:rsid w:val="9FCDE159"/>
    <w:rsid w:val="9FFAD4C4"/>
    <w:rsid w:val="A77F5149"/>
    <w:rsid w:val="AA0FEC83"/>
    <w:rsid w:val="ABAF77EE"/>
    <w:rsid w:val="BAEFA7C9"/>
    <w:rsid w:val="BBFF3454"/>
    <w:rsid w:val="BDF7F75C"/>
    <w:rsid w:val="BDFF628F"/>
    <w:rsid w:val="BEA7816F"/>
    <w:rsid w:val="BEFE2AC0"/>
    <w:rsid w:val="BF2FBC7D"/>
    <w:rsid w:val="BF3FA40E"/>
    <w:rsid w:val="BF9B7210"/>
    <w:rsid w:val="BFBB92CC"/>
    <w:rsid w:val="BFBE292A"/>
    <w:rsid w:val="BFBF33A1"/>
    <w:rsid w:val="BFEFA827"/>
    <w:rsid w:val="BFF72378"/>
    <w:rsid w:val="BFFB09D9"/>
    <w:rsid w:val="BFFDB839"/>
    <w:rsid w:val="BFFFE2EA"/>
    <w:rsid w:val="C4FFD104"/>
    <w:rsid w:val="CF77E771"/>
    <w:rsid w:val="CFFEDC28"/>
    <w:rsid w:val="D2F7EF88"/>
    <w:rsid w:val="D5EF198A"/>
    <w:rsid w:val="D7739576"/>
    <w:rsid w:val="D77F4238"/>
    <w:rsid w:val="D77FB22C"/>
    <w:rsid w:val="D7FFB8AE"/>
    <w:rsid w:val="DACBB13C"/>
    <w:rsid w:val="DE7BABAC"/>
    <w:rsid w:val="DEFA741F"/>
    <w:rsid w:val="DEFFC389"/>
    <w:rsid w:val="DF3F386A"/>
    <w:rsid w:val="DF5FD5B3"/>
    <w:rsid w:val="DF7E33B4"/>
    <w:rsid w:val="DFE136D8"/>
    <w:rsid w:val="E594ED45"/>
    <w:rsid w:val="E72F4E88"/>
    <w:rsid w:val="E7B69C68"/>
    <w:rsid w:val="E7CEB222"/>
    <w:rsid w:val="E9AEE95D"/>
    <w:rsid w:val="E9B9DBF1"/>
    <w:rsid w:val="E9FE972B"/>
    <w:rsid w:val="EB3D8467"/>
    <w:rsid w:val="EBF23968"/>
    <w:rsid w:val="EBFEFE85"/>
    <w:rsid w:val="ECFFCACD"/>
    <w:rsid w:val="EDF333D8"/>
    <w:rsid w:val="EDFE6DC1"/>
    <w:rsid w:val="EFF7F601"/>
    <w:rsid w:val="F27F515E"/>
    <w:rsid w:val="F2DC451B"/>
    <w:rsid w:val="F44F3F06"/>
    <w:rsid w:val="F5CF41D4"/>
    <w:rsid w:val="F5EDA643"/>
    <w:rsid w:val="F76E1B3A"/>
    <w:rsid w:val="F77F3BB1"/>
    <w:rsid w:val="F7AAA4C6"/>
    <w:rsid w:val="F7DFD6A9"/>
    <w:rsid w:val="F7EB889F"/>
    <w:rsid w:val="FAF6D66A"/>
    <w:rsid w:val="FAFAD8B1"/>
    <w:rsid w:val="FAFFFD9A"/>
    <w:rsid w:val="FB7FE75E"/>
    <w:rsid w:val="FBF70212"/>
    <w:rsid w:val="FBFF8C44"/>
    <w:rsid w:val="FBFFEF2A"/>
    <w:rsid w:val="FDBFDCB8"/>
    <w:rsid w:val="FDFF59D1"/>
    <w:rsid w:val="FDFF6AA2"/>
    <w:rsid w:val="FEC7CD75"/>
    <w:rsid w:val="FEDDAA5C"/>
    <w:rsid w:val="FEDE1455"/>
    <w:rsid w:val="FEE7A3D1"/>
    <w:rsid w:val="FEEF2645"/>
    <w:rsid w:val="FEFA66AC"/>
    <w:rsid w:val="FEFDD3B7"/>
    <w:rsid w:val="FF6F43E2"/>
    <w:rsid w:val="FFA85742"/>
    <w:rsid w:val="FFCE95AA"/>
    <w:rsid w:val="FFE581C2"/>
    <w:rsid w:val="FFEFD5F0"/>
    <w:rsid w:val="FFFC00D2"/>
    <w:rsid w:val="FFFDD7B9"/>
    <w:rsid w:val="FFFFD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rPr>
      <w:sz w:val="24"/>
    </w:rPr>
  </w:style>
  <w:style w:type="paragraph" w:customStyle="1" w:styleId="8">
    <w:name w:val="p1"/>
    <w:basedOn w:val="1"/>
    <w:qFormat/>
    <w:uiPriority w:val="0"/>
    <w:pPr>
      <w:ind w:firstLine="560"/>
    </w:pPr>
    <w:rPr>
      <w:rFonts w:ascii="仿宋_GB2312" w:hAnsi="仿宋_GB2312" w:eastAsia="仿宋_GB2312" w:cs="Times New Roman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5ebc01e7-d208-4768-9741-7c181341f912</errorID>
      <errorWord>0518—81589629</errorWord>
      <group>L1_Punc</group>
      <groupName>标点问题</groupName>
      <ability>L2_Punc</ability>
      <abilityName>标点符号检查</abilityName>
      <candidateList>
        <item>0518-81589629</item>
      </candidateList>
      <explain>电话号码使用短横线。</explain>
      <paraID>1CDC3758</paraID>
      <start>28</start>
      <end>41</end>
      <status>modified</status>
      <modifiedWord>0518-81589629</modifiedWord>
      <trackRevisions>false</trackRevisions>
    </reviewItem>
    <reviewItem>
      <errorID>da92268f-edef-4430-82c8-68c6f6f5a094</errorID>
      <errorWord>—</errorWord>
      <group>L1_Word</group>
      <groupName>字词问题</groupName>
      <ability>L2_Typo</ability>
      <abilityName>字词错误</abilityName>
      <candidateList>
        <item>至</item>
      </candidateList>
      <explain/>
      <paraID>65406196</paraID>
      <start>12</start>
      <end>13</end>
      <status>ignored</status>
      <modifiedWord/>
      <trackRevisions>false</trackRevisions>
    </reviewItem>
    <reviewItem>
      <errorID/>
      <errorWord>30-25
</errorWord>
      <group>L1_Other</group>
      <groupName>其他问题</groupName>
      <ability>L2_RepeatSentence</ability>
      <abilityName>重句检查</abilityName>
      <candidateList>
        <item/>
      </candidateList>
      <explain>重句检查</explain>
      <paraID>22B6D46A</paraID>
      <start>0</start>
      <end>6</end>
      <status>ignored</status>
      <modifiedWord/>
      <trackRevisions>false</trackRevisions>
    </reviewItem>
    <reviewItem>
      <errorID/>
      <errorWord>24-19
</errorWord>
      <group>L1_Other</group>
      <groupName>其他问题</groupName>
      <ability>L2_RepeatSentence</ability>
      <abilityName>重句检查</abilityName>
      <candidateList>
        <item/>
      </candidateList>
      <explain>重句检查</explain>
      <paraID>6B19520A</paraID>
      <start>0</start>
      <end>6</end>
      <status>ignored</status>
      <modifiedWord/>
      <trackRevisions>false</trackRevisions>
    </reviewItem>
    <reviewItem>
      <errorID/>
      <errorWord>18-11
</errorWord>
      <group>L1_Other</group>
      <groupName>其他问题</groupName>
      <ability>L2_RepeatSentence</ability>
      <abilityName>重句检查</abilityName>
      <candidateList>
        <item/>
      </candidateList>
      <explain>重句检查</explain>
      <paraID>25F41DDA</paraID>
      <start>0</start>
      <end>6</end>
      <status>ignored</status>
      <modifiedWord/>
      <trackRevisions>false</trackRevisions>
    </reviewItem>
    <reviewItem>
      <errorID/>
      <errorWord>本项目评委现场独立评分，</errorWord>
      <group>L1_Other</group>
      <groupName>其他问题</groupName>
      <ability>L2_RepeatSentence</ability>
      <abilityName>重句检查</abilityName>
      <candidateList>
        <item/>
      </candidateList>
      <explain>重句检查</explain>
      <paraID> AACEE0D</paraID>
      <start>3</start>
      <end>15</end>
      <status>ignored</status>
      <modifiedWord/>
      <trackRevisions>false</trackRevisions>
    </reviewItem>
    <reviewItem>
      <errorID/>
      <errorWord>取平均分为该项最终得分。</errorWord>
      <group>L1_Other</group>
      <groupName>其他问题</groupName>
      <ability>L2_RepeatSentence</ability>
      <abilityName>重句检查</abilityName>
      <candidateList>
        <item/>
      </candidateList>
      <explain>重句检查</explain>
      <paraID> AACEE0D</paraID>
      <start>15</start>
      <end>27</end>
      <status>ignored</status>
      <modifiedWord/>
      <trackRevisions>false</trackRevisions>
    </reviewItem>
    <reviewItem>
      <errorID>5fba89d1-4069-4fce-9a61-fb533e0da8a2</errorID>
      <errorWord>五、</errorWord>
      <group>L1_Format</group>
      <groupName>格式问题</groupName>
      <ability>L2_Ordinal</ability>
      <abilityName>序号格式</abilityName>
      <candidateList>
        <item>四、</item>
      </candidateList>
      <explain>标题顺序错误，请检查标题顺序是否合理。</explain>
      <paraID>6620E5AD</paraID>
      <start>0</start>
      <end>2</end>
      <status>modified</status>
      <modifiedWord>四、</modifiedWord>
      <trackRevisions>false</trackRevisions>
    </reviewItem>
    <reviewItem>
      <errorID>69aa96a0-c040-4067-a0cb-f1c676108b50</errorID>
      <errorWord>20</errorWord>
      <group>L1_Word</group>
      <groupName>字词问题</groupName>
      <ability>L2_Typo</ability>
      <abilityName>字词错误</abilityName>
      <candidateList>
        <item> 20</item>
      </candidateList>
      <explain/>
      <paraID>2B3E9B52</paraID>
      <start>48</start>
      <end>51</end>
      <status>modified</status>
      <modifiedWord> 20</modifiedWord>
      <trackRevisions>false</trackRevisions>
    </reviewItem>
    <reviewItem>
      <errorID>2b85ed0e-5eea-4894-8e39-49dcd4f829cf</errorID>
      <errorWord>20</errorWord>
      <group>L1_Word</group>
      <groupName>字词问题</groupName>
      <ability>L2_Typo</ability>
      <abilityName>字词错误</abilityName>
      <candidateList>
        <item> 20</item>
      </candidateList>
      <explain/>
      <paraID>2B3E9B52</paraID>
      <start>62</start>
      <end>65</end>
      <status>modified</status>
      <modifiedWord> 20</modifiedWord>
      <trackRevisions>false</trackRevisions>
    </reviewItem>
    <reviewItem>
      <errorID>edd90ff1-7317-4127-ab06-fbc1c2796bc7</errorID>
      <errorWord/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5EFA22F4</paraID>
      <start>36</start>
      <end>36</end>
      <status>modified</status>
      <modifiedWord/>
      <trackRevisions>false</trackRevisions>
    </reviewItem>
    <reviewItem>
      <errorID>5ef7710e-5f18-44e1-9f53-5097b52aef7e</errorID>
      <errorWord>六、</errorWord>
      <group>L1_Format</group>
      <groupName>格式问题</groupName>
      <ability>L2_Ordinal</ability>
      <abilityName>序号格式</abilityName>
      <candidateList>
        <item>五、</item>
      </candidateList>
      <explain>标题顺序错误，请检查标题顺序是否合理。</explain>
      <paraID> 283B5D0</paraID>
      <start>0</start>
      <end>2</end>
      <status>modified</status>
      <modifiedWord>五、</modifiedWord>
      <trackRevisions>false</trackRevisions>
    </reviewItem>
    <reviewItem>
      <errorID>08334d56-e0c9-4e09-b2e6-0a5ff84a24d6</errorID>
      <errorWord>，</errorWord>
      <group>L1_Grammar</group>
      <groupName>语法问题</groupName>
      <ability>L2_Grammar</ability>
      <abilityName>语法错误</abilityName>
      <candidateList>
        <item>的原则，</item>
      </candidateList>
      <explain/>
      <paraID>22A29FE6</paraID>
      <start>18</start>
      <end>22</end>
      <status>modified</status>
      <modifiedWord>的原则，</modifiedWord>
      <trackRevisions>false</trackRevisions>
    </reviewItem>
    <reviewItem>
      <errorID>3c1c807f-a689-4766-9b28-2209ccb67f38</errorID>
      <errorWord>七、</errorWord>
      <group>L1_Format</group>
      <groupName>格式问题</groupName>
      <ability>L2_Ordinal</ability>
      <abilityName>序号格式</abilityName>
      <candidateList>
        <item>六、</item>
      </candidateList>
      <explain>标题顺序错误，请检查标题顺序是否合理。</explain>
      <paraID>7DB3CCAF</paraID>
      <start>0</start>
      <end>2</end>
      <status>modified</status>
      <modifiedWord>六、</modifiedWord>
      <trackRevisions>false</trackRevisions>
    </reviewItem>
    <reviewItem>
      <errorID>632e57aa-5302-46c3-b9ff-5cb96d34023f</errorID>
      <errorWord>一致</errorWord>
      <group>L1_Grammar</group>
      <groupName>语法问题</groupName>
      <ability>L2_Grammar</ability>
      <abilityName>语法错误</abilityName>
      <candidateList>
        <item>课程一致</item>
      </candidateList>
      <explain/>
      <paraID>6DD1DB1C</paraID>
      <start>27</start>
      <end>29</end>
      <status>ignored</status>
      <modifiedWord/>
      <trackRevisions>false</trackRevisions>
    </reviewItem>
    <reviewItem>
      <errorID>93f07480-f5de-47d5-9130-408d2ea8dc3f</errorID>
      <errorWord>可以</errorWord>
      <group>L1_Word</group>
      <groupName>字词问题</groupName>
      <ability>L2_Typo</ability>
      <abilityName>字词错误</abilityName>
      <candidateList>
        <item>可</item>
      </candidateList>
      <explain/>
      <paraID> F386079</paraID>
      <start>53</start>
      <end>54</end>
      <status>modified</status>
      <modifiedWord>可</modifiedWord>
      <trackRevisions>false</trackRevisions>
    </reviewItem>
    <reviewItem>
      <errorID>e5c58010-0df3-46e1-a7b9-f969eecf2d9e</errorID>
      <errorWord>对应</errorWord>
      <group>L1_Word</group>
      <groupName>字词问题</groupName>
      <ability>L2_Typo</ability>
      <abilityName>字词错误</abilityName>
      <candidateList>
        <item>后对应</item>
      </candidateList>
      <explain/>
      <paraID>5291063F</paraID>
      <start>36</start>
      <end>38</end>
      <status>ignored</status>
      <modifiedWord/>
      <trackRevisions>false</trackRevisions>
    </reviewItem>
    <reviewItem>
      <errorID>3abaf3a1-d647-4517-a3f0-c08f67e6252b</errorID>
      <errorWord>八、</errorWord>
      <group>L1_Format</group>
      <groupName>格式问题</groupName>
      <ability>L2_Ordinal</ability>
      <abilityName>序号格式</abilityName>
      <candidateList>
        <item>七、</item>
      </candidateList>
      <explain>标题顺序错误，请检查标题顺序是否合理。</explain>
      <paraID>7BB6B71B</paraID>
      <start>0</start>
      <end>2</end>
      <status>modified</status>
      <modifiedWord>七、</modifiedWord>
      <trackRevisions>false</trackRevisions>
    </reviewItem>
    <reviewItem>
      <errorID>a2d7474c-440d-4345-802d-e4419272fe0e</errorID>
      <errorWord>，</errorWord>
      <group>L1_Grammar</group>
      <groupName>语法问题</groupName>
      <ability>L2_Grammar</ability>
      <abilityName>语法错误</abilityName>
      <candidateList>
        <item>包括，</item>
      </candidateList>
      <explain/>
      <paraID> 8DF4B52</paraID>
      <start>32</start>
      <end>33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52F11-2909-4845-9599-6035772192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2979</Words>
  <Characters>3144</Characters>
  <Lines>1741</Lines>
  <Paragraphs>369</Paragraphs>
  <TotalTime>1</TotalTime>
  <ScaleCrop>false</ScaleCrop>
  <LinksUpToDate>false</LinksUpToDate>
  <CharactersWithSpaces>3182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2026-05-07T18:42:00Z</dcterms:created>
  <dc:creator>清风徐来</dc:creator>
  <cp:lastModifiedBy>默默</cp:lastModifiedBy>
  <cp:lastPrinted>2026-05-19T09:36:00Z</cp:lastPrinted>
  <dcterms:modified xsi:type="dcterms:W3CDTF">2026-05-20T09:35:41Z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ADE525A6AF11406C87FAF3BE688079CF_13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